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F2098">
      <w:pPr>
        <w:bidi w:val="0"/>
        <w:jc w:val="center"/>
        <w:rPr>
          <w:rFonts w:hint="eastAsia"/>
          <w:b/>
          <w:bCs/>
          <w:sz w:val="44"/>
          <w:szCs w:val="44"/>
        </w:rPr>
      </w:pPr>
      <w:r>
        <w:rPr>
          <w:rFonts w:hint="eastAsia"/>
          <w:b/>
          <w:bCs/>
          <w:sz w:val="44"/>
          <w:szCs w:val="44"/>
          <w:lang w:val="en-US" w:eastAsia="zh-CN"/>
        </w:rPr>
        <w:t>合肥理工</w:t>
      </w:r>
      <w:r>
        <w:rPr>
          <w:rFonts w:hint="eastAsia"/>
          <w:b/>
          <w:bCs/>
          <w:sz w:val="44"/>
          <w:szCs w:val="44"/>
        </w:rPr>
        <w:t>学院内部控制建设项目采购需求</w:t>
      </w:r>
    </w:p>
    <w:p w14:paraId="6718F7CD">
      <w:pPr>
        <w:bidi w:val="0"/>
        <w:rPr>
          <w:rFonts w:hint="eastAsia"/>
        </w:rPr>
      </w:pPr>
    </w:p>
    <w:p w14:paraId="61F160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ascii="黑体" w:hAnsi="黑体" w:eastAsia="黑体" w:cs="黑体"/>
          <w:sz w:val="32"/>
          <w:szCs w:val="32"/>
        </w:rPr>
        <w:t>一、项目概况</w:t>
      </w:r>
    </w:p>
    <w:p w14:paraId="71E51D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根据安徽省教育厅</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安徽省财政厅关于印发《安徽省高校内部控制制度操作规程》的通知、财政部关于印发《行政事业单位内部控制报告管理制度(试行)》的通知等相关文件的要求，</w:t>
      </w:r>
      <w:r>
        <w:rPr>
          <w:rFonts w:hint="eastAsia" w:ascii="仿宋" w:hAnsi="仿宋" w:eastAsia="仿宋" w:cs="仿宋"/>
          <w:sz w:val="32"/>
          <w:szCs w:val="32"/>
          <w:lang w:val="en-US" w:eastAsia="zh-CN"/>
        </w:rPr>
        <w:t>合肥理工学院</w:t>
      </w:r>
      <w:r>
        <w:rPr>
          <w:rFonts w:hint="eastAsia" w:ascii="仿宋" w:hAnsi="仿宋" w:eastAsia="仿宋" w:cs="仿宋"/>
          <w:sz w:val="32"/>
          <w:szCs w:val="32"/>
        </w:rPr>
        <w:t>委托第三方机构，依据内外部现有管理制度及规范，结合学校办学及管理实际，全面梳理业务流程，开展风险评估，精准识别各类管控风险，完善内控机制，编制内部控制规范手册，搭建系统化、规范化的学校管理制度框架体系，建立适配合肥理工学院办学特色、风险管理特点的内部控制体系。由第三方机构协助指导内部控制体系落地运行，配合完成体系验收工作，全方位展示项目建设成果，切实提升学校风险治理能力、规范化管理水平与内控履职效能。</w:t>
      </w:r>
    </w:p>
    <w:p w14:paraId="3DBBC0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、项目范围</w:t>
      </w:r>
    </w:p>
    <w:p w14:paraId="7A8960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本项目涉及内部控制建设的单位范围和业务范围为：</w:t>
      </w:r>
    </w:p>
    <w:p w14:paraId="5D09D4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项目单位范围包括</w:t>
      </w:r>
      <w:r>
        <w:rPr>
          <w:rFonts w:hint="eastAsia" w:ascii="仿宋" w:hAnsi="仿宋" w:eastAsia="仿宋" w:cs="仿宋"/>
          <w:sz w:val="32"/>
          <w:szCs w:val="32"/>
          <w:lang w:val="en-US" w:eastAsia="zh-CN"/>
        </w:rPr>
        <w:t>合肥理工学院</w:t>
      </w:r>
      <w:r>
        <w:rPr>
          <w:rFonts w:hint="eastAsia" w:ascii="仿宋" w:hAnsi="仿宋" w:eastAsia="仿宋" w:cs="仿宋"/>
          <w:sz w:val="32"/>
          <w:szCs w:val="32"/>
        </w:rPr>
        <w:t>各</w:t>
      </w:r>
      <w:r>
        <w:rPr>
          <w:rFonts w:hint="eastAsia" w:ascii="仿宋" w:hAnsi="仿宋" w:eastAsia="仿宋" w:cs="仿宋"/>
          <w:sz w:val="32"/>
          <w:szCs w:val="32"/>
          <w:lang w:val="en-US" w:eastAsia="zh-CN"/>
        </w:rPr>
        <w:t>二级学院、部门</w:t>
      </w:r>
      <w:r>
        <w:rPr>
          <w:rFonts w:hint="eastAsia" w:ascii="仿宋" w:hAnsi="仿宋" w:eastAsia="仿宋" w:cs="仿宋"/>
          <w:sz w:val="32"/>
          <w:szCs w:val="32"/>
        </w:rPr>
        <w:t>(参见</w:t>
      </w:r>
      <w:r>
        <w:rPr>
          <w:rFonts w:hint="eastAsia" w:ascii="仿宋" w:hAnsi="仿宋" w:eastAsia="仿宋" w:cs="仿宋"/>
          <w:sz w:val="32"/>
          <w:szCs w:val="32"/>
          <w:lang w:val="en-US" w:eastAsia="zh-CN"/>
        </w:rPr>
        <w:t>合肥理工学院</w:t>
      </w:r>
      <w:r>
        <w:rPr>
          <w:rFonts w:hint="eastAsia" w:ascii="仿宋" w:hAnsi="仿宋" w:eastAsia="仿宋" w:cs="仿宋"/>
          <w:sz w:val="32"/>
          <w:szCs w:val="32"/>
        </w:rPr>
        <w:t>官网)</w:t>
      </w:r>
      <w:r>
        <w:rPr>
          <w:rFonts w:hint="eastAsia" w:ascii="仿宋" w:hAnsi="仿宋" w:eastAsia="仿宋" w:cs="仿宋"/>
          <w:sz w:val="32"/>
          <w:szCs w:val="32"/>
          <w:lang w:eastAsia="zh-CN"/>
        </w:rPr>
        <w:t>。</w:t>
      </w:r>
    </w:p>
    <w:p w14:paraId="0DC6CF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项目业务范围为单位的所有经济活动，包括单位层面和业务层面内部控制两个方面</w:t>
      </w:r>
      <w:r>
        <w:rPr>
          <w:rFonts w:hint="eastAsia" w:ascii="仿宋" w:hAnsi="仿宋" w:eastAsia="仿宋" w:cs="仿宋"/>
          <w:sz w:val="32"/>
          <w:szCs w:val="32"/>
          <w:lang w:eastAsia="zh-CN"/>
        </w:rPr>
        <w:t>，全面贴合高校行政、财务、科研、资产、项目管理等核心工作。</w:t>
      </w:r>
    </w:p>
    <w:p w14:paraId="00DBFE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单位层面内控包括但不限于组织机构设置、岗位员工配置、职责权限、决策机制、会计控制、信息系统控制</w:t>
      </w:r>
      <w:r>
        <w:rPr>
          <w:rFonts w:hint="eastAsia" w:ascii="仿宋" w:hAnsi="仿宋" w:eastAsia="仿宋" w:cs="仿宋"/>
          <w:sz w:val="32"/>
          <w:szCs w:val="32"/>
          <w:lang w:eastAsia="zh-CN"/>
        </w:rPr>
        <w:t>、内控文化建设</w:t>
      </w:r>
      <w:r>
        <w:rPr>
          <w:rFonts w:hint="eastAsia" w:ascii="仿宋" w:hAnsi="仿宋" w:eastAsia="仿宋" w:cs="仿宋"/>
          <w:sz w:val="32"/>
          <w:szCs w:val="32"/>
        </w:rPr>
        <w:t>等；</w:t>
      </w:r>
    </w:p>
    <w:p w14:paraId="5A6613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业务层面内控包括但不限于围绕控制环境、预决算管理、资产管理、债务管理、收入管理、支出管理、合同管理、采购管理、工程项目管理、科研项目管理、财政专项项目管理、经济活动信息化管理、教育基金会管理等内部控制活动，全面梳理各业务流程风险点、岗位管控要点及现有管理制度，精准评估单位层面、业务层面的实操风险与管理漏洞。</w:t>
      </w:r>
    </w:p>
    <w:p w14:paraId="59F175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三、内部控制体系建设主要内容及成果</w:t>
      </w:r>
    </w:p>
    <w:p w14:paraId="631FA0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对学校经济活动进行风险评估以及对学校现状全面了解的情况下，按照相关的法律法规和规章制度，全面梳理和优化学校管理业务流程，力求从学校层面和业务层面对风险进行识别，形成风险控制矩阵和流程图。其中学校层面风险主要体现在控制环境，如学校领导班子及关键控制人员的风险偏好、国家政策变化的影响、法律法规变动的风险及经济环境变化风险等。业务层面风险主要集中于主要业务流程和主要职能上，如预决算管理、收入管理、合同管理、不相容岗位分离等，应着重识别对学校发展有重大影响的风险，分析风险形成的原因及严重性，制定相应有效的应对措施以提升学校的风险管控能力，形成《内控风险评估报告》。</w:t>
      </w:r>
    </w:p>
    <w:p w14:paraId="104800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对学校经济活动内部控制进行基础性评价按照教育部《关于开展内部控制基础性评价工作的通知》(教财司函〔2016〕451号)、《关于开展行政事业单位内部控制基础性评价工作的通知》(财会〔2016〕11号文)的要求，对学校内部控制建设情况进行测评，并编制《内部控制基础性评价报告》。</w:t>
      </w:r>
    </w:p>
    <w:p w14:paraId="76580C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编制学校内部控制手册，结合内控建设工作实际情况编制内控管理制度和《内部控制手册》,健全学校内部控制制度。根据学校各类经济活动业务情况，编制《权限指引表》,明确各类经济活动事项的管理权限，保证学校各类经济业务活动的权限科学、合理。</w:t>
      </w:r>
    </w:p>
    <w:p w14:paraId="1C9CBD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4.搭建学校管理制度框架体系思维导图。结合学校行政管理、教学管理、科研管理、财务管理、资产管理、学生管理、后勤管理、采购工程、专项经费管理等全领域管理制度，梳理学校整体治理架构、制度层级、业务归口、管控逻辑，编制可视化、系统化的《学校管理制度框架体系思维导图》，明确各部门制度归口、制度关联、流程衔接关系，实现全校管理制度体系结构化、可视化、条理化，为制度落地、日常管理、内控自查、迎检备查提供清晰的框架指引。</w:t>
      </w:r>
    </w:p>
    <w:p w14:paraId="6DA21D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编制内控建设专项总结成果资料。全面梳理项目建设全过程工作内容、建设举措、整改优化情况、建设成效，系统总结学校内控体系建设成果、现存问题及后续提升方向，形成完整的《合肥理工学院内部控制建设项目总结报告》，全方位汇报内控体系建设整体成效。</w:t>
      </w:r>
    </w:p>
    <w:p w14:paraId="0475C2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6.组织开展内部控制培训根据工作中发现的问题及新建立的制度对相关职能部门开展针对性培训，确保各级管理人员了解内控制度体系，形成风险内控意识。</w:t>
      </w:r>
    </w:p>
    <w:p w14:paraId="1BB0F8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系统化设计内控体系，制定分层实施方案。立足学校整体办学与管理实际，结合各部门业务覆盖范围、管理水平、人员风险防控意识差异，对全校风险隐患、制度体系、业务流程进行统一规划、统一标准、统一设计，分级、分层制定内控体系落地实施细则与推进方案，保障全校内部控制建设标准化、规范化、有序化推进。</w:t>
      </w:r>
    </w:p>
    <w:p w14:paraId="0BB4BC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8为学校后续与内部控制相关的信息系统建设工作提供必要的配合。</w:t>
      </w:r>
    </w:p>
    <w:p w14:paraId="1BBF9B3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开展内控评价。针对编制的内部控制规范手册、搭建学校管理制度框架体系思维导图及试运行情况，开展内部控制评价工作，提交评价报告，优化内部控制规范；配合成果验收。根据验收工作要求，开展成果验收前的准备工作，配合项目单位进行成果验收。</w:t>
      </w:r>
    </w:p>
    <w:p w14:paraId="0D6544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四、项目周期</w:t>
      </w:r>
    </w:p>
    <w:p w14:paraId="7B792BA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bookmarkStart w:id="0" w:name="_GoBack"/>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月底前，完成所有项目成果和验收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协助完成2027年4月我校第一年内控评价报告工作</w:t>
      </w:r>
      <w:r>
        <w:rPr>
          <w:rFonts w:hint="eastAsia" w:ascii="仿宋" w:hAnsi="仿宋" w:eastAsia="仿宋" w:cs="仿宋"/>
          <w:sz w:val="32"/>
          <w:szCs w:val="32"/>
        </w:rPr>
        <w:t>。</w:t>
      </w:r>
    </w:p>
    <w:bookmarkEnd w:id="0"/>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isplayHorizontalDrawingGridEvery w:val="1"/>
  <w:displayVerticalDrawingGridEvery w:val="1"/>
  <w:noPunctuationKerning w:val="1"/>
  <w:characterSpacingControl w:val="compressPunctuation"/>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34DD0"/>
    <w:rsid w:val="202520E8"/>
    <w:rsid w:val="263E622B"/>
    <w:rsid w:val="29BE12DC"/>
    <w:rsid w:val="2B243FAA"/>
    <w:rsid w:val="3B401368"/>
    <w:rsid w:val="3C98536C"/>
    <w:rsid w:val="4789176B"/>
    <w:rsid w:val="51E9137F"/>
    <w:rsid w:val="5B312163"/>
    <w:rsid w:val="64EA436E"/>
    <w:rsid w:val="66C53470"/>
    <w:rsid w:val="68C050F3"/>
    <w:rsid w:val="73842C37"/>
    <w:rsid w:val="793E3C37"/>
    <w:rsid w:val="7A36536F"/>
    <w:rsid w:val="7B075394"/>
    <w:rsid w:val="7E8C5B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99"/>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1921</Words>
  <Characters>1947</Characters>
  <TotalTime>37</TotalTime>
  <ScaleCrop>false</ScaleCrop>
  <LinksUpToDate>false</LinksUpToDate>
  <CharactersWithSpaces>1948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2026-05-28T07:01:00Z</dcterms:created>
  <dc:creator>wwb06</dc:creator>
  <cp:lastModifiedBy>光の原色</cp:lastModifiedBy>
  <cp:lastPrinted>2026-06-15T07:48:00Z</cp:lastPrinted>
  <dcterms:modified xsi:type="dcterms:W3CDTF">2026-06-17T03:16:19Z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eyJoZGlkIjoiOGMyYzQzN2ExMWNlNDJiZjk3MDZmYjZjODNlZjQxZWYiLCJ1c2VySWQiOiIxMjA3NTUxMTU3In0=</vt:lpwstr>
  </property>
  <property fmtid="{D5CDD505-2E9C-101B-9397-08002B2CF9AE}" pid="3" name="KSOProductBuildVer">
    <vt:lpwstr>2052-12.1.0.26895</vt:lpwstr>
  </property>
  <property fmtid="{D5CDD505-2E9C-101B-9397-08002B2CF9AE}" pid="4" name="ICV">
    <vt:lpwstr>B43ACF4A865342518A768483A25046A6_13</vt:lpwstr>
  </property>
</Properties>
</file>