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5CD191">
      <w:pPr>
        <w:rPr>
          <w:sz w:val="20"/>
          <w:szCs w:val="22"/>
        </w:rPr>
      </w:pPr>
    </w:p>
    <w:p w14:paraId="295C71E3">
      <w:pPr>
        <w:ind w:left="0" w:leftChars="0" w:right="0" w:rightChars="0" w:firstLine="0" w:firstLineChars="0"/>
        <w:jc w:val="center"/>
        <w:rPr>
          <w:rFonts w:hint="eastAsia" w:eastAsiaTheme="minorEastAsia"/>
          <w:b/>
          <w:bCs/>
          <w:sz w:val="36"/>
          <w:szCs w:val="44"/>
          <w:lang w:val="en-US" w:eastAsia="zh-CN"/>
        </w:rPr>
      </w:pPr>
      <w:r>
        <w:rPr>
          <w:rFonts w:hint="eastAsia"/>
          <w:b/>
          <w:bCs/>
          <w:sz w:val="36"/>
          <w:szCs w:val="44"/>
          <w:lang w:val="en-US" w:eastAsia="zh-CN"/>
        </w:rPr>
        <w:t>合肥理工学院</w:t>
      </w:r>
      <w:r>
        <w:rPr>
          <w:rFonts w:hint="eastAsia"/>
          <w:b/>
          <w:bCs/>
          <w:sz w:val="36"/>
          <w:szCs w:val="44"/>
        </w:rPr>
        <w:t>能源电化学创新实验</w:t>
      </w:r>
      <w:r>
        <w:rPr>
          <w:rFonts w:hint="eastAsia"/>
          <w:b/>
          <w:bCs/>
          <w:sz w:val="36"/>
          <w:szCs w:val="44"/>
          <w:lang w:val="en-US" w:eastAsia="zh-CN"/>
        </w:rPr>
        <w:t>室场地配套改造</w:t>
      </w:r>
      <w:r>
        <w:rPr>
          <w:rFonts w:hint="eastAsia"/>
          <w:b/>
          <w:bCs/>
          <w:sz w:val="36"/>
          <w:szCs w:val="44"/>
        </w:rPr>
        <w:t>项目采购需求</w:t>
      </w:r>
      <w:r>
        <w:rPr>
          <w:rFonts w:hint="eastAsia"/>
          <w:b/>
          <w:bCs/>
          <w:sz w:val="36"/>
          <w:szCs w:val="44"/>
          <w:lang w:val="en-US" w:eastAsia="zh-CN"/>
        </w:rPr>
        <w:t>表</w:t>
      </w:r>
    </w:p>
    <w:p w14:paraId="72B1D68E">
      <w:pPr>
        <w:rPr>
          <w:rFonts w:hint="eastAsia"/>
          <w:b/>
          <w:bCs/>
          <w:sz w:val="24"/>
          <w:szCs w:val="32"/>
          <w:lang w:val="en-US" w:eastAsia="zh-CN"/>
        </w:rPr>
      </w:pPr>
      <w:r>
        <w:rPr>
          <w:rFonts w:hint="eastAsia"/>
          <w:b/>
          <w:bCs/>
          <w:sz w:val="24"/>
          <w:szCs w:val="32"/>
          <w:lang w:val="en-US" w:eastAsia="zh-CN"/>
        </w:rPr>
        <w:t>（一）项目信息</w:t>
      </w:r>
    </w:p>
    <w:p w14:paraId="7F4D3A14">
      <w:pPr>
        <w:rPr>
          <w:rFonts w:hint="default"/>
          <w:b/>
          <w:bCs/>
          <w:sz w:val="24"/>
          <w:szCs w:val="32"/>
          <w:lang w:val="en-US" w:eastAsia="zh-CN"/>
        </w:rPr>
      </w:pPr>
      <w:r>
        <w:rPr>
          <w:rFonts w:hint="eastAsia"/>
          <w:b/>
          <w:bCs/>
          <w:sz w:val="24"/>
          <w:szCs w:val="32"/>
          <w:lang w:val="en-US" w:eastAsia="zh-CN"/>
        </w:rPr>
        <w:t>项目名称：合肥理工学院</w:t>
      </w:r>
      <w:r>
        <w:rPr>
          <w:rFonts w:hint="eastAsia"/>
          <w:b/>
          <w:bCs/>
          <w:sz w:val="24"/>
          <w:szCs w:val="32"/>
        </w:rPr>
        <w:t>能源电化学创新实</w:t>
      </w:r>
      <w:r>
        <w:rPr>
          <w:rFonts w:hint="eastAsia"/>
          <w:b/>
          <w:bCs/>
          <w:sz w:val="24"/>
          <w:szCs w:val="32"/>
          <w:lang w:val="en-US" w:eastAsia="zh-CN"/>
        </w:rPr>
        <w:t>验室场地配套改</w:t>
      </w:r>
      <w:bookmarkStart w:id="14" w:name="_GoBack"/>
      <w:bookmarkEnd w:id="14"/>
      <w:r>
        <w:rPr>
          <w:rFonts w:hint="eastAsia"/>
          <w:b/>
          <w:bCs/>
          <w:sz w:val="24"/>
          <w:szCs w:val="32"/>
          <w:lang w:val="en-US" w:eastAsia="zh-CN"/>
        </w:rPr>
        <w:t>造项目</w:t>
      </w:r>
    </w:p>
    <w:p w14:paraId="6C987AD4">
      <w:pPr>
        <w:rPr>
          <w:rFonts w:hint="default"/>
          <w:b/>
          <w:bCs/>
          <w:sz w:val="24"/>
          <w:szCs w:val="32"/>
          <w:lang w:val="en-US" w:eastAsia="zh-CN"/>
        </w:rPr>
      </w:pPr>
      <w:r>
        <w:rPr>
          <w:rFonts w:hint="eastAsia"/>
          <w:b/>
          <w:bCs/>
          <w:sz w:val="24"/>
          <w:szCs w:val="32"/>
          <w:lang w:val="en-US" w:eastAsia="zh-CN"/>
        </w:rPr>
        <w:t>采购单位联系人及电话：姚阁 15639018205</w:t>
      </w:r>
    </w:p>
    <w:p w14:paraId="0B003D3B">
      <w:pPr>
        <w:rPr>
          <w:rFonts w:hint="default"/>
          <w:b/>
          <w:bCs/>
          <w:sz w:val="24"/>
          <w:szCs w:val="32"/>
          <w:lang w:val="en-US" w:eastAsia="zh-CN"/>
        </w:rPr>
      </w:pPr>
      <w:r>
        <w:rPr>
          <w:rFonts w:hint="eastAsia"/>
          <w:b/>
          <w:bCs/>
          <w:sz w:val="24"/>
          <w:szCs w:val="32"/>
          <w:lang w:val="en-US" w:eastAsia="zh-CN"/>
        </w:rPr>
        <w:t>项目预算：13万元</w:t>
      </w:r>
    </w:p>
    <w:p w14:paraId="627B70A5">
      <w:pPr>
        <w:rPr>
          <w:rFonts w:hint="eastAsia"/>
          <w:b/>
          <w:bCs/>
          <w:sz w:val="24"/>
          <w:szCs w:val="32"/>
          <w:lang w:val="en-US" w:eastAsia="zh-CN"/>
        </w:rPr>
      </w:pPr>
      <w:r>
        <w:rPr>
          <w:rFonts w:hint="eastAsia"/>
          <w:b/>
          <w:bCs/>
          <w:sz w:val="24"/>
          <w:szCs w:val="32"/>
          <w:lang w:val="en-US" w:eastAsia="zh-CN"/>
        </w:rPr>
        <w:t>项目概况：</w:t>
      </w:r>
      <w:r>
        <w:rPr>
          <w:rStyle w:val="13"/>
          <w:rFonts w:hint="eastAsia" w:cs="宋体" w:asciiTheme="minorEastAsia" w:hAnsiTheme="minorEastAsia"/>
          <w:kern w:val="28"/>
          <w:sz w:val="24"/>
          <w:szCs w:val="24"/>
          <w:lang w:val="en-US" w:eastAsia="zh-CN"/>
        </w:rPr>
        <w:t>合肥理工学院</w:t>
      </w:r>
      <w:r>
        <w:rPr>
          <w:rStyle w:val="13"/>
          <w:rFonts w:hint="eastAsia" w:cs="宋体" w:asciiTheme="minorEastAsia" w:hAnsiTheme="minorEastAsia"/>
          <w:kern w:val="28"/>
          <w:sz w:val="24"/>
          <w:szCs w:val="24"/>
          <w:lang w:val="zh-TW"/>
        </w:rPr>
        <w:t>能源电化学创新实</w:t>
      </w:r>
      <w:r>
        <w:rPr>
          <w:rStyle w:val="13"/>
          <w:rFonts w:hint="eastAsia" w:cs="宋体" w:asciiTheme="minorEastAsia" w:hAnsiTheme="minorEastAsia"/>
          <w:kern w:val="28"/>
          <w:sz w:val="24"/>
          <w:szCs w:val="24"/>
          <w:lang w:val="en-US" w:eastAsia="zh-CN"/>
        </w:rPr>
        <w:t>验室场地配套设备及安装服务一批，</w:t>
      </w:r>
      <w:r>
        <w:rPr>
          <w:rStyle w:val="13"/>
          <w:rFonts w:cs="宋体" w:asciiTheme="minorEastAsia" w:hAnsiTheme="minorEastAsia"/>
          <w:kern w:val="28"/>
          <w:sz w:val="24"/>
          <w:szCs w:val="24"/>
          <w:lang w:val="zh-TW"/>
        </w:rPr>
        <w:t>要求该系统工程的设备选择、安装材料和施工要满足现代化实验室的使用要求，达到国内先进水平。要具有先进性、可靠性、实用性和经济性、配套设施齐全，各项技术指标达到优良等级；要具有升级更新的灵活性</w:t>
      </w:r>
    </w:p>
    <w:p w14:paraId="74A51048">
      <w:pPr>
        <w:rPr>
          <w:rFonts w:hint="default" w:eastAsiaTheme="minorEastAsia"/>
          <w:b/>
          <w:bCs/>
          <w:sz w:val="24"/>
          <w:szCs w:val="32"/>
          <w:lang w:val="en-US" w:eastAsia="zh-CN"/>
        </w:rPr>
      </w:pPr>
      <w:r>
        <w:rPr>
          <w:rFonts w:hint="eastAsia"/>
          <w:b/>
          <w:bCs/>
          <w:sz w:val="24"/>
          <w:szCs w:val="32"/>
          <w:lang w:val="en-US" w:eastAsia="zh-CN"/>
        </w:rPr>
        <w:t>（二）合肥理工学院</w:t>
      </w:r>
      <w:r>
        <w:rPr>
          <w:rFonts w:hint="eastAsia"/>
          <w:b/>
          <w:bCs/>
          <w:sz w:val="24"/>
          <w:szCs w:val="32"/>
        </w:rPr>
        <w:t>能源电化学创新</w:t>
      </w:r>
      <w:r>
        <w:rPr>
          <w:rFonts w:hint="eastAsia"/>
          <w:b/>
          <w:bCs/>
          <w:sz w:val="24"/>
          <w:szCs w:val="32"/>
          <w:lang w:val="en-US" w:eastAsia="zh-CN"/>
        </w:rPr>
        <w:t>实验室场地配套改造需求一览表</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8"/>
        <w:gridCol w:w="1129"/>
        <w:gridCol w:w="6900"/>
        <w:gridCol w:w="928"/>
      </w:tblGrid>
      <w:tr w14:paraId="5C748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2911B220">
            <w:pPr>
              <w:jc w:val="center"/>
              <w:rPr>
                <w:rFonts w:hint="eastAsia" w:eastAsiaTheme="minorEastAsia"/>
                <w:b/>
                <w:bCs/>
                <w:sz w:val="24"/>
                <w:szCs w:val="32"/>
                <w:vertAlign w:val="baseline"/>
                <w:lang w:val="en-US" w:eastAsia="zh-CN"/>
              </w:rPr>
            </w:pPr>
            <w:r>
              <w:rPr>
                <w:rFonts w:hint="eastAsia"/>
                <w:b/>
                <w:bCs/>
                <w:sz w:val="24"/>
                <w:szCs w:val="32"/>
                <w:vertAlign w:val="baseline"/>
                <w:lang w:val="en-US" w:eastAsia="zh-CN"/>
              </w:rPr>
              <w:t>序号</w:t>
            </w:r>
          </w:p>
        </w:tc>
        <w:tc>
          <w:tcPr>
            <w:tcW w:w="1129" w:type="dxa"/>
          </w:tcPr>
          <w:p w14:paraId="5A4CC380">
            <w:pPr>
              <w:jc w:val="center"/>
              <w:rPr>
                <w:rFonts w:hint="eastAsia" w:eastAsiaTheme="minorEastAsia"/>
                <w:b/>
                <w:bCs/>
                <w:sz w:val="24"/>
                <w:szCs w:val="32"/>
                <w:vertAlign w:val="baseline"/>
                <w:lang w:val="en-US" w:eastAsia="zh-CN"/>
              </w:rPr>
            </w:pPr>
            <w:r>
              <w:rPr>
                <w:rFonts w:hint="eastAsia"/>
                <w:b/>
                <w:bCs/>
                <w:sz w:val="24"/>
                <w:szCs w:val="32"/>
                <w:vertAlign w:val="baseline"/>
                <w:lang w:val="en-US" w:eastAsia="zh-CN"/>
              </w:rPr>
              <w:t>名称</w:t>
            </w:r>
          </w:p>
        </w:tc>
        <w:tc>
          <w:tcPr>
            <w:tcW w:w="6900" w:type="dxa"/>
          </w:tcPr>
          <w:p w14:paraId="1A9D0FD9">
            <w:pPr>
              <w:jc w:val="center"/>
              <w:rPr>
                <w:rFonts w:hint="default" w:eastAsiaTheme="minorEastAsia"/>
                <w:b/>
                <w:bCs/>
                <w:sz w:val="24"/>
                <w:szCs w:val="32"/>
                <w:vertAlign w:val="baseline"/>
                <w:lang w:val="en-US" w:eastAsia="zh-CN"/>
              </w:rPr>
            </w:pPr>
            <w:r>
              <w:rPr>
                <w:rFonts w:hint="eastAsia"/>
                <w:b/>
                <w:bCs/>
                <w:sz w:val="24"/>
                <w:szCs w:val="32"/>
                <w:vertAlign w:val="baseline"/>
                <w:lang w:val="en-US" w:eastAsia="zh-CN"/>
              </w:rPr>
              <w:t>具体需求</w:t>
            </w:r>
          </w:p>
        </w:tc>
        <w:tc>
          <w:tcPr>
            <w:tcW w:w="928" w:type="dxa"/>
          </w:tcPr>
          <w:p w14:paraId="6C443D94">
            <w:pPr>
              <w:jc w:val="center"/>
              <w:rPr>
                <w:rFonts w:hint="eastAsia" w:eastAsiaTheme="minorEastAsia"/>
                <w:b/>
                <w:bCs/>
                <w:sz w:val="24"/>
                <w:szCs w:val="32"/>
                <w:vertAlign w:val="baseline"/>
                <w:lang w:val="en-US" w:eastAsia="zh-CN"/>
              </w:rPr>
            </w:pPr>
            <w:r>
              <w:rPr>
                <w:rFonts w:hint="eastAsia"/>
                <w:b/>
                <w:bCs/>
                <w:sz w:val="24"/>
                <w:szCs w:val="32"/>
                <w:vertAlign w:val="baseline"/>
                <w:lang w:val="en-US" w:eastAsia="zh-CN"/>
              </w:rPr>
              <w:t>数量</w:t>
            </w:r>
          </w:p>
        </w:tc>
      </w:tr>
      <w:tr w14:paraId="108E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40514427">
            <w:pPr>
              <w:jc w:val="center"/>
              <w:rPr>
                <w:rFonts w:hint="eastAsia"/>
                <w:b/>
                <w:bCs/>
                <w:sz w:val="22"/>
                <w:szCs w:val="22"/>
                <w:vertAlign w:val="baseline"/>
                <w:lang w:val="en-US" w:eastAsia="zh-CN"/>
              </w:rPr>
            </w:pPr>
            <w:r>
              <w:rPr>
                <w:rFonts w:hint="eastAsia"/>
                <w:b/>
                <w:bCs/>
                <w:sz w:val="22"/>
                <w:szCs w:val="22"/>
                <w:vertAlign w:val="baseline"/>
                <w:lang w:val="en-US" w:eastAsia="zh-CN"/>
              </w:rPr>
              <w:t>1</w:t>
            </w:r>
          </w:p>
        </w:tc>
        <w:tc>
          <w:tcPr>
            <w:tcW w:w="1129" w:type="dxa"/>
          </w:tcPr>
          <w:p w14:paraId="1C099F3F">
            <w:pPr>
              <w:rPr>
                <w:rFonts w:hint="default"/>
                <w:b/>
                <w:bCs/>
                <w:sz w:val="22"/>
                <w:szCs w:val="22"/>
                <w:vertAlign w:val="baseline"/>
                <w:lang w:val="en-US" w:eastAsia="zh-CN"/>
              </w:rPr>
            </w:pPr>
            <w:r>
              <w:rPr>
                <w:rFonts w:hint="eastAsia"/>
                <w:b/>
                <w:bCs/>
                <w:sz w:val="22"/>
                <w:szCs w:val="22"/>
                <w:vertAlign w:val="baseline"/>
                <w:lang w:val="en-US" w:eastAsia="zh-CN"/>
              </w:rPr>
              <w:t>通风系统</w:t>
            </w:r>
          </w:p>
        </w:tc>
        <w:tc>
          <w:tcPr>
            <w:tcW w:w="6900" w:type="dxa"/>
          </w:tcPr>
          <w:p w14:paraId="72C9FA23">
            <w:pPr>
              <w:pStyle w:val="15"/>
              <w:numPr>
                <w:ilvl w:val="0"/>
                <w:numId w:val="0"/>
              </w:numPr>
              <w:adjustRightInd w:val="0"/>
              <w:snapToGrid w:val="0"/>
              <w:spacing w:line="360" w:lineRule="atLeast"/>
              <w:jc w:val="left"/>
              <w:rPr>
                <w:rFonts w:hint="eastAsia"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通风系统排风设备的排风量应满足《中华人民共和国机械行业标准》（GB/T6412-1999）的第5项第5.1条《排风柜性能参数表》的要求。通风柜吸入口表面平均风速：0.5±0.2m/s。通风柜的吸入速度表（通风柜柜门开启安全高度350mm~400mm），无毒有害物吸入风速0.25-0.375v（m/s），有毒或有危险的有害物吸入风速0.4-0.5v（m/s），剧毒或有少量放射性吸入风速0.5-0.6v（m/s），管道材料采用阻燃PP材质。</w:t>
            </w:r>
          </w:p>
          <w:p w14:paraId="3EE3BBFA">
            <w:pPr>
              <w:pStyle w:val="15"/>
              <w:numPr>
                <w:ilvl w:val="0"/>
                <w:numId w:val="0"/>
              </w:numPr>
              <w:adjustRightInd w:val="0"/>
              <w:snapToGrid w:val="0"/>
              <w:spacing w:line="360" w:lineRule="atLeast"/>
              <w:jc w:val="left"/>
              <w:rPr>
                <w:rFonts w:hint="default" w:asciiTheme="minorHAnsi" w:hAnsiTheme="minorHAnsi" w:eastAsiaTheme="minorEastAsia" w:cstheme="minorBidi"/>
                <w:kern w:val="2"/>
                <w:sz w:val="18"/>
                <w:szCs w:val="18"/>
                <w:lang w:val="en-US" w:eastAsia="zh-CN" w:bidi="ar-SA"/>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6B59E567">
            <w:pPr>
              <w:rPr>
                <w:rFonts w:hint="default" w:eastAsiaTheme="minorEastAsia"/>
                <w:b/>
                <w:bCs/>
                <w:sz w:val="24"/>
                <w:szCs w:val="32"/>
                <w:vertAlign w:val="baseline"/>
                <w:lang w:val="en-US" w:eastAsia="zh-CN"/>
              </w:rPr>
            </w:pPr>
            <w:r>
              <w:rPr>
                <w:rFonts w:hint="eastAsia"/>
                <w:b/>
                <w:bCs/>
                <w:sz w:val="24"/>
                <w:szCs w:val="32"/>
                <w:vertAlign w:val="baseline"/>
                <w:lang w:val="en-US" w:eastAsia="zh-CN"/>
              </w:rPr>
              <w:t>1套</w:t>
            </w:r>
          </w:p>
        </w:tc>
      </w:tr>
      <w:tr w14:paraId="47B47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1BBB038E">
            <w:pPr>
              <w:jc w:val="center"/>
              <w:rPr>
                <w:rFonts w:hint="eastAsia"/>
                <w:b/>
                <w:bCs/>
                <w:sz w:val="22"/>
                <w:szCs w:val="22"/>
                <w:vertAlign w:val="baseline"/>
                <w:lang w:val="en-US" w:eastAsia="zh-CN"/>
              </w:rPr>
            </w:pPr>
            <w:r>
              <w:rPr>
                <w:rFonts w:hint="eastAsia"/>
                <w:b/>
                <w:bCs/>
                <w:sz w:val="22"/>
                <w:szCs w:val="22"/>
                <w:vertAlign w:val="baseline"/>
                <w:lang w:val="en-US" w:eastAsia="zh-CN"/>
              </w:rPr>
              <w:t>2</w:t>
            </w:r>
          </w:p>
        </w:tc>
        <w:tc>
          <w:tcPr>
            <w:tcW w:w="1129" w:type="dxa"/>
          </w:tcPr>
          <w:p w14:paraId="019C6586">
            <w:pPr>
              <w:rPr>
                <w:rFonts w:hint="eastAsia"/>
                <w:b/>
                <w:bCs/>
                <w:sz w:val="22"/>
                <w:szCs w:val="22"/>
                <w:vertAlign w:val="baseline"/>
                <w:lang w:val="en-US" w:eastAsia="zh-CN"/>
              </w:rPr>
            </w:pPr>
            <w:r>
              <w:rPr>
                <w:rFonts w:hint="eastAsia"/>
                <w:b/>
                <w:bCs/>
                <w:sz w:val="22"/>
                <w:szCs w:val="22"/>
                <w:vertAlign w:val="baseline"/>
                <w:lang w:val="en-US" w:eastAsia="zh-CN"/>
              </w:rPr>
              <w:t>给排水系统</w:t>
            </w:r>
          </w:p>
        </w:tc>
        <w:tc>
          <w:tcPr>
            <w:tcW w:w="6900" w:type="dxa"/>
          </w:tcPr>
          <w:p w14:paraId="73E2F4BE">
            <w:pPr>
              <w:numPr>
                <w:ilvl w:val="0"/>
                <w:numId w:val="0"/>
              </w:numPr>
              <w:spacing w:line="360" w:lineRule="auto"/>
              <w:ind w:leftChars="0"/>
              <w:rPr>
                <w:rFonts w:hint="eastAsia"/>
                <w:sz w:val="18"/>
                <w:szCs w:val="18"/>
              </w:rPr>
            </w:pPr>
            <w:r>
              <w:rPr>
                <w:rFonts w:hint="eastAsia"/>
                <w:sz w:val="18"/>
                <w:szCs w:val="18"/>
                <w:lang w:val="zh-TW"/>
              </w:rPr>
              <w:t>管材：给水管采用</w:t>
            </w:r>
            <w:r>
              <w:rPr>
                <w:rFonts w:hint="eastAsia"/>
                <w:sz w:val="18"/>
                <w:szCs w:val="18"/>
                <w:lang w:val="en-US" w:eastAsia="zh-CN"/>
              </w:rPr>
              <w:t>PPR</w:t>
            </w:r>
            <w:r>
              <w:rPr>
                <w:rFonts w:hint="eastAsia"/>
                <w:sz w:val="18"/>
                <w:szCs w:val="18"/>
                <w:lang w:val="zh-TW"/>
              </w:rPr>
              <w:t>管，</w:t>
            </w:r>
            <w:r>
              <w:rPr>
                <w:rFonts w:hint="eastAsia"/>
                <w:sz w:val="18"/>
                <w:szCs w:val="18"/>
                <w:lang w:val="en-US" w:eastAsia="zh-CN"/>
              </w:rPr>
              <w:t>热熔</w:t>
            </w:r>
            <w:r>
              <w:rPr>
                <w:rFonts w:hint="eastAsia"/>
                <w:sz w:val="18"/>
                <w:szCs w:val="18"/>
                <w:lang w:val="zh-TW"/>
              </w:rPr>
              <w:t>连接</w:t>
            </w:r>
            <w:r>
              <w:rPr>
                <w:rFonts w:hint="eastAsia"/>
                <w:sz w:val="18"/>
                <w:szCs w:val="18"/>
                <w:lang w:val="zh-TW" w:eastAsia="zh-CN"/>
              </w:rPr>
              <w:t>，</w:t>
            </w:r>
            <w:r>
              <w:rPr>
                <w:rFonts w:hint="eastAsia"/>
                <w:sz w:val="18"/>
                <w:szCs w:val="18"/>
                <w:lang w:val="en-US" w:eastAsia="zh-CN"/>
              </w:rPr>
              <w:t>排水采用PE管，热熔</w:t>
            </w:r>
            <w:r>
              <w:rPr>
                <w:rFonts w:hint="eastAsia"/>
                <w:sz w:val="18"/>
                <w:szCs w:val="18"/>
                <w:lang w:val="zh-TW"/>
              </w:rPr>
              <w:t>连接。</w:t>
            </w:r>
            <w:bookmarkStart w:id="0" w:name="_Toc370153910"/>
            <w:r>
              <w:rPr>
                <w:rFonts w:hint="eastAsia"/>
                <w:sz w:val="18"/>
                <w:szCs w:val="18"/>
              </w:rPr>
              <w:t>实验室水池龙头为肘式开关。洗手装置为感应式开关。设在吊顶、管井内的给水管道采用</w:t>
            </w:r>
            <w:r>
              <w:rPr>
                <w:rFonts w:hint="eastAsia"/>
                <w:sz w:val="18"/>
                <w:szCs w:val="18"/>
                <w:lang w:val="en-US" w:eastAsia="zh-CN"/>
              </w:rPr>
              <w:t>橡塑</w:t>
            </w:r>
            <w:r>
              <w:rPr>
                <w:rFonts w:hint="eastAsia"/>
                <w:sz w:val="18"/>
                <w:szCs w:val="18"/>
              </w:rPr>
              <w:t>保温材料进行保温，防止结露。</w:t>
            </w:r>
            <w:bookmarkEnd w:id="0"/>
            <w:r>
              <w:rPr>
                <w:rFonts w:hint="eastAsia"/>
                <w:sz w:val="18"/>
                <w:szCs w:val="18"/>
              </w:rPr>
              <w:t>给水管道系统防倒流装置：倒流防止器产品由两个隔开的止回阀和一个液压传动的泄水阀组成。由于止回阀的局部水头损失，中间腔内的压力始终低于入水口的压力。这个压差驱使泄水阀处于关闭状态，管路正常供水。在压力异常时，（即出口端压力高于中间腔），即使两个止回阀都不能反向密封，安全泄水阀也能自动开启将倒流水泄空，并形成空气隔断，保证上游供水卫生安全。</w:t>
            </w:r>
          </w:p>
          <w:p w14:paraId="06901F5E">
            <w:pPr>
              <w:numPr>
                <w:ilvl w:val="0"/>
                <w:numId w:val="0"/>
              </w:numPr>
              <w:spacing w:line="360" w:lineRule="auto"/>
              <w:ind w:leftChars="0"/>
              <w:rPr>
                <w:rFonts w:hint="default"/>
                <w:sz w:val="18"/>
                <w:szCs w:val="18"/>
                <w:lang w:val="en-US" w:eastAsia="zh-CN"/>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493C15C0">
            <w:pPr>
              <w:rPr>
                <w:rFonts w:hint="eastAsia"/>
                <w:b/>
                <w:bCs/>
                <w:sz w:val="24"/>
                <w:szCs w:val="32"/>
                <w:vertAlign w:val="baseline"/>
              </w:rPr>
            </w:pPr>
            <w:r>
              <w:rPr>
                <w:rFonts w:hint="eastAsia"/>
                <w:b/>
                <w:bCs/>
                <w:sz w:val="24"/>
                <w:szCs w:val="32"/>
                <w:vertAlign w:val="baseline"/>
                <w:lang w:val="en-US" w:eastAsia="zh-CN"/>
              </w:rPr>
              <w:t>1套</w:t>
            </w:r>
          </w:p>
        </w:tc>
      </w:tr>
      <w:tr w14:paraId="6FD71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0C02FCA2">
            <w:pPr>
              <w:jc w:val="center"/>
              <w:rPr>
                <w:rFonts w:hint="eastAsia"/>
                <w:b/>
                <w:bCs/>
                <w:sz w:val="22"/>
                <w:szCs w:val="22"/>
                <w:vertAlign w:val="baseline"/>
                <w:lang w:val="en-US" w:eastAsia="zh-CN"/>
              </w:rPr>
            </w:pPr>
            <w:r>
              <w:rPr>
                <w:rFonts w:hint="eastAsia"/>
                <w:b/>
                <w:bCs/>
                <w:sz w:val="22"/>
                <w:szCs w:val="22"/>
                <w:vertAlign w:val="baseline"/>
                <w:lang w:val="en-US" w:eastAsia="zh-CN"/>
              </w:rPr>
              <w:t>3</w:t>
            </w:r>
          </w:p>
        </w:tc>
        <w:tc>
          <w:tcPr>
            <w:tcW w:w="1129" w:type="dxa"/>
          </w:tcPr>
          <w:p w14:paraId="4FCC362A">
            <w:pPr>
              <w:rPr>
                <w:rFonts w:hint="default"/>
                <w:b/>
                <w:bCs/>
                <w:sz w:val="22"/>
                <w:szCs w:val="22"/>
                <w:vertAlign w:val="baseline"/>
                <w:lang w:val="en-US" w:eastAsia="zh-CN"/>
              </w:rPr>
            </w:pPr>
            <w:r>
              <w:rPr>
                <w:rFonts w:hint="eastAsia"/>
                <w:b/>
                <w:bCs/>
                <w:sz w:val="22"/>
                <w:szCs w:val="22"/>
                <w:vertAlign w:val="baseline"/>
                <w:lang w:val="en-US" w:eastAsia="zh-CN"/>
              </w:rPr>
              <w:t>电力系统</w:t>
            </w:r>
          </w:p>
        </w:tc>
        <w:tc>
          <w:tcPr>
            <w:tcW w:w="6900" w:type="dxa"/>
          </w:tcPr>
          <w:p w14:paraId="2783C200">
            <w:pPr>
              <w:numPr>
                <w:ilvl w:val="0"/>
                <w:numId w:val="0"/>
              </w:numPr>
              <w:spacing w:line="360" w:lineRule="auto"/>
              <w:ind w:leftChars="0"/>
              <w:rPr>
                <w:sz w:val="18"/>
                <w:szCs w:val="18"/>
              </w:rPr>
            </w:pPr>
            <w:r>
              <w:rPr>
                <w:sz w:val="18"/>
                <w:szCs w:val="18"/>
              </w:rPr>
              <w:t>配电设计必须满足实验室使用要求；</w:t>
            </w:r>
            <w:r>
              <w:rPr>
                <w:rFonts w:hint="eastAsia"/>
                <w:sz w:val="18"/>
                <w:szCs w:val="18"/>
              </w:rPr>
              <w:t>#</w:t>
            </w:r>
            <w:r>
              <w:rPr>
                <w:sz w:val="18"/>
                <w:szCs w:val="18"/>
              </w:rPr>
              <w:t>配电柜</w:t>
            </w:r>
            <w:r>
              <w:rPr>
                <w:rFonts w:hint="eastAsia"/>
                <w:sz w:val="18"/>
                <w:szCs w:val="18"/>
              </w:rPr>
              <w:t>、</w:t>
            </w:r>
            <w:r>
              <w:rPr>
                <w:sz w:val="18"/>
                <w:szCs w:val="18"/>
              </w:rPr>
              <w:t>开关插座</w:t>
            </w:r>
            <w:r>
              <w:rPr>
                <w:rFonts w:hint="eastAsia"/>
                <w:sz w:val="18"/>
                <w:szCs w:val="18"/>
              </w:rPr>
              <w:t>需选用3C认证的优质产品（响应文件中须明确品牌型号）。室内供电：每面墙设置不少于</w:t>
            </w:r>
            <w:r>
              <w:rPr>
                <w:sz w:val="18"/>
                <w:szCs w:val="18"/>
              </w:rPr>
              <w:t>5</w:t>
            </w:r>
            <w:r>
              <w:rPr>
                <w:rFonts w:hint="eastAsia"/>
                <w:sz w:val="18"/>
                <w:szCs w:val="18"/>
              </w:rPr>
              <w:t>组多功能五孔插座带开关（</w:t>
            </w:r>
            <w:r>
              <w:rPr>
                <w:sz w:val="18"/>
                <w:szCs w:val="18"/>
              </w:rPr>
              <w:t>10A</w:t>
            </w:r>
            <w:r>
              <w:rPr>
                <w:rFonts w:hint="eastAsia"/>
                <w:sz w:val="18"/>
                <w:szCs w:val="18"/>
              </w:rPr>
              <w:t>）、</w:t>
            </w:r>
            <w:r>
              <w:rPr>
                <w:sz w:val="18"/>
                <w:szCs w:val="18"/>
              </w:rPr>
              <w:t>2</w:t>
            </w:r>
            <w:r>
              <w:rPr>
                <w:rFonts w:hint="eastAsia"/>
                <w:sz w:val="18"/>
                <w:szCs w:val="18"/>
              </w:rPr>
              <w:t>组三孔插座（</w:t>
            </w:r>
            <w:r>
              <w:rPr>
                <w:sz w:val="18"/>
                <w:szCs w:val="18"/>
              </w:rPr>
              <w:t>16A</w:t>
            </w:r>
            <w:r>
              <w:rPr>
                <w:rFonts w:hint="eastAsia"/>
                <w:sz w:val="18"/>
                <w:szCs w:val="18"/>
              </w:rPr>
              <w:t>），不少于</w:t>
            </w:r>
            <w:r>
              <w:rPr>
                <w:sz w:val="18"/>
                <w:szCs w:val="18"/>
              </w:rPr>
              <w:t>1</w:t>
            </w:r>
            <w:r>
              <w:rPr>
                <w:rFonts w:hint="eastAsia"/>
                <w:sz w:val="18"/>
                <w:szCs w:val="18"/>
              </w:rPr>
              <w:t>组二十孔插座带开关（</w:t>
            </w:r>
            <w:r>
              <w:rPr>
                <w:sz w:val="18"/>
                <w:szCs w:val="18"/>
              </w:rPr>
              <w:t>10A</w:t>
            </w:r>
            <w:r>
              <w:rPr>
                <w:rFonts w:hint="eastAsia"/>
                <w:sz w:val="18"/>
                <w:szCs w:val="18"/>
              </w:rPr>
              <w:t>），供电电缆须采用镀锌或</w:t>
            </w:r>
            <w:r>
              <w:rPr>
                <w:sz w:val="18"/>
                <w:szCs w:val="18"/>
              </w:rPr>
              <w:t>PVC</w:t>
            </w:r>
            <w:r>
              <w:rPr>
                <w:rFonts w:hint="eastAsia"/>
                <w:sz w:val="18"/>
                <w:szCs w:val="18"/>
              </w:rPr>
              <w:t>线管暗敷，线盒暗装，</w:t>
            </w:r>
            <w:r>
              <w:rPr>
                <w:rFonts w:hint="eastAsia"/>
                <w:sz w:val="18"/>
                <w:szCs w:val="18"/>
                <w:lang w:val="en-US" w:eastAsia="zh-CN"/>
              </w:rPr>
              <w:t>室</w:t>
            </w:r>
            <w:r>
              <w:rPr>
                <w:rFonts w:hint="eastAsia"/>
                <w:sz w:val="18"/>
                <w:szCs w:val="18"/>
              </w:rPr>
              <w:t>内暗装，外平，封胶（电源线应根据设备功率布置，满足使用要求）。电力线缆（根据动力配置应大于</w:t>
            </w:r>
            <w:r>
              <w:rPr>
                <w:rFonts w:hint="eastAsia"/>
                <w:sz w:val="18"/>
                <w:szCs w:val="18"/>
                <w:lang w:val="en-US" w:eastAsia="zh-CN"/>
              </w:rPr>
              <w:t>2.5</w:t>
            </w:r>
            <w:r>
              <w:rPr>
                <w:sz w:val="18"/>
                <w:szCs w:val="18"/>
              </w:rPr>
              <w:t>/</w:t>
            </w:r>
            <w:r>
              <w:rPr>
                <w:rFonts w:hint="eastAsia"/>
                <w:sz w:val="18"/>
                <w:szCs w:val="18"/>
                <w:lang w:val="en-US" w:eastAsia="zh-CN"/>
              </w:rPr>
              <w:t>4</w:t>
            </w:r>
            <w:r>
              <w:rPr>
                <w:sz w:val="18"/>
                <w:szCs w:val="18"/>
              </w:rPr>
              <w:t xml:space="preserve"> mm2</w:t>
            </w:r>
            <w:r>
              <w:rPr>
                <w:rFonts w:hint="eastAsia"/>
                <w:sz w:val="18"/>
                <w:szCs w:val="18"/>
              </w:rPr>
              <w:t>），应选用耐高温，铜芯，优质线缆（响应文件中须明确品牌型号），分色安装。</w:t>
            </w:r>
            <w:r>
              <w:rPr>
                <w:sz w:val="18"/>
                <w:szCs w:val="18"/>
              </w:rPr>
              <w:t>室内照明采用LED明装</w:t>
            </w:r>
            <w:r>
              <w:rPr>
                <w:rFonts w:hint="eastAsia"/>
                <w:sz w:val="18"/>
                <w:szCs w:val="18"/>
              </w:rPr>
              <w:t>平板式吸顶</w:t>
            </w:r>
            <w:r>
              <w:rPr>
                <w:sz w:val="18"/>
                <w:szCs w:val="18"/>
              </w:rPr>
              <w:t>专用净化灯具，照度大于300Lux</w:t>
            </w:r>
            <w:r>
              <w:rPr>
                <w:rFonts w:hint="eastAsia"/>
                <w:sz w:val="18"/>
                <w:szCs w:val="18"/>
              </w:rPr>
              <w:t>。消毒灯具采用吸顶式安装，开关需有特殊警示，不得与照明开关安装在相同位置，控制面板需具备定时开关功能。</w:t>
            </w:r>
            <w:r>
              <w:rPr>
                <w:sz w:val="18"/>
                <w:szCs w:val="18"/>
              </w:rPr>
              <w:t>每个设计部分单独设计供电。</w:t>
            </w:r>
          </w:p>
          <w:p w14:paraId="236F8068">
            <w:pPr>
              <w:numPr>
                <w:ilvl w:val="0"/>
                <w:numId w:val="0"/>
              </w:numPr>
              <w:spacing w:line="360" w:lineRule="auto"/>
              <w:ind w:leftChars="0"/>
              <w:rPr>
                <w:rFonts w:hint="default"/>
                <w:sz w:val="18"/>
                <w:szCs w:val="18"/>
                <w:lang w:val="en-US" w:eastAsia="zh-CN"/>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36283795">
            <w:pPr>
              <w:rPr>
                <w:rFonts w:hint="eastAsia"/>
                <w:b/>
                <w:bCs/>
                <w:sz w:val="24"/>
                <w:szCs w:val="32"/>
                <w:vertAlign w:val="baseline"/>
              </w:rPr>
            </w:pPr>
            <w:r>
              <w:rPr>
                <w:rFonts w:hint="eastAsia"/>
                <w:b/>
                <w:bCs/>
                <w:sz w:val="24"/>
                <w:szCs w:val="32"/>
                <w:vertAlign w:val="baseline"/>
                <w:lang w:val="en-US" w:eastAsia="zh-CN"/>
              </w:rPr>
              <w:t>1套</w:t>
            </w:r>
          </w:p>
        </w:tc>
      </w:tr>
      <w:tr w14:paraId="28194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128A7532">
            <w:pPr>
              <w:jc w:val="center"/>
              <w:rPr>
                <w:rFonts w:hint="eastAsia"/>
                <w:b/>
                <w:bCs/>
                <w:sz w:val="22"/>
                <w:szCs w:val="22"/>
                <w:vertAlign w:val="baseline"/>
                <w:lang w:val="en-US" w:eastAsia="zh-CN"/>
              </w:rPr>
            </w:pPr>
            <w:r>
              <w:rPr>
                <w:rFonts w:hint="eastAsia"/>
                <w:b/>
                <w:bCs/>
                <w:sz w:val="22"/>
                <w:szCs w:val="22"/>
                <w:vertAlign w:val="baseline"/>
                <w:lang w:val="en-US" w:eastAsia="zh-CN"/>
              </w:rPr>
              <w:t>4</w:t>
            </w:r>
          </w:p>
        </w:tc>
        <w:tc>
          <w:tcPr>
            <w:tcW w:w="1129" w:type="dxa"/>
          </w:tcPr>
          <w:p w14:paraId="104AFE20">
            <w:pPr>
              <w:rPr>
                <w:rFonts w:hint="default"/>
                <w:b/>
                <w:bCs/>
                <w:sz w:val="22"/>
                <w:szCs w:val="22"/>
                <w:vertAlign w:val="baseline"/>
                <w:lang w:val="en-US" w:eastAsia="zh-CN"/>
              </w:rPr>
            </w:pPr>
            <w:r>
              <w:rPr>
                <w:rFonts w:hint="eastAsia"/>
                <w:b/>
                <w:bCs/>
                <w:sz w:val="22"/>
                <w:szCs w:val="22"/>
                <w:vertAlign w:val="baseline"/>
                <w:lang w:val="en-US" w:eastAsia="zh-CN"/>
              </w:rPr>
              <w:t>气路系统</w:t>
            </w:r>
          </w:p>
        </w:tc>
        <w:tc>
          <w:tcPr>
            <w:tcW w:w="6900" w:type="dxa"/>
          </w:tcPr>
          <w:p w14:paraId="5A2D73BC">
            <w:pPr>
              <w:pStyle w:val="6"/>
              <w:numPr>
                <w:ilvl w:val="0"/>
                <w:numId w:val="1"/>
              </w:numPr>
              <w:spacing w:line="360"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气路工程一般指实验室气体工程，即从气瓶至仪器终端之间连接管线，一般有气体切换装置-减压装置-阀门-管线-过滤器-报警器-终端箱-调节阀等部分组成。</w:t>
            </w:r>
          </w:p>
          <w:p w14:paraId="1FE09223">
            <w:pPr>
              <w:pStyle w:val="6"/>
              <w:numPr>
                <w:ilvl w:val="0"/>
                <w:numId w:val="1"/>
              </w:numPr>
              <w:spacing w:line="360"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实验室气体采用集中供气方式，由实验室外专用供气区域用管路引进。除了洁净空气由空气压缩系统直接产生外，其余气体都是采用高压气瓶供气。</w:t>
            </w:r>
          </w:p>
          <w:p w14:paraId="7D3F9434">
            <w:pPr>
              <w:pStyle w:val="6"/>
              <w:numPr>
                <w:ilvl w:val="0"/>
                <w:numId w:val="1"/>
              </w:numPr>
              <w:spacing w:line="360"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每种气体都要有主供和备供气瓶，并安装自动切换面板进行供气控制，保证不间断供气。另外主要的控制阀门和减压阀门都应安装在实验室外。</w:t>
            </w:r>
          </w:p>
          <w:p w14:paraId="1BF38CC7">
            <w:pPr>
              <w:pStyle w:val="6"/>
              <w:spacing w:line="360"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实验室气体由不锈钢管（BA级）路输送，一般1.5米内并必须有支架固定在墙面。在实验室内所有管路安装在天花板下方，沿墙进行明设。所有管路标明连接的气体。气体管路每隔1.5米的距离，都要有明确标示，同时指示气体的流向。</w:t>
            </w:r>
          </w:p>
          <w:p w14:paraId="27EC9BE0">
            <w:pPr>
              <w:pStyle w:val="6"/>
              <w:spacing w:line="360" w:lineRule="auto"/>
              <w:ind w:firstLine="210" w:firstLineChars="1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5、所有减压器都需要连接一条通出气体存藏区的排气管路。易燃、氧化气体排气管路不能并在一起。</w:t>
            </w:r>
          </w:p>
          <w:p w14:paraId="30215792">
            <w:pPr>
              <w:spacing w:line="360" w:lineRule="auto"/>
              <w:ind w:firstLine="210" w:firstLineChars="100"/>
              <w:rPr>
                <w:rFonts w:hint="eastAsia" w:asciiTheme="minorEastAsia" w:hAnsiTheme="minorEastAsia" w:cstheme="minorEastAsia"/>
                <w:sz w:val="21"/>
                <w:szCs w:val="21"/>
              </w:rPr>
            </w:pPr>
            <w:r>
              <w:rPr>
                <w:rFonts w:hint="eastAsia" w:asciiTheme="minorEastAsia" w:hAnsiTheme="minorEastAsia" w:eastAsiaTheme="minorEastAsia" w:cstheme="minorEastAsia"/>
                <w:sz w:val="21"/>
                <w:szCs w:val="21"/>
              </w:rPr>
              <w:t>6、所有设计和施工必须符合相关的规范和要求，如：《科学实验室建筑设计规范》–JGJ 91-93；《氢气使用安全技术规程》-GB 4962-1985；《现场设备、工业管道焊接工程施工及验收规范》-GB50236-1998。</w:t>
            </w:r>
            <w:r>
              <w:rPr>
                <w:rFonts w:hint="eastAsia" w:asciiTheme="minorEastAsia" w:hAnsiTheme="minorEastAsia" w:cstheme="minorEastAsia"/>
                <w:sz w:val="21"/>
                <w:szCs w:val="21"/>
              </w:rPr>
              <w:t>减压器：一级减压器、二级减压器、终端减压器</w:t>
            </w:r>
            <w:r>
              <w:rPr>
                <w:rFonts w:hint="eastAsia" w:eastAsia="宋体" w:asciiTheme="minorEastAsia" w:hAnsiTheme="minorEastAsia" w:cstheme="minorEastAsia"/>
                <w:sz w:val="21"/>
                <w:szCs w:val="21"/>
                <w:lang w:val="en-US" w:eastAsia="zh-CN"/>
              </w:rPr>
              <w:t>采用</w:t>
            </w:r>
            <w:r>
              <w:rPr>
                <w:rFonts w:hint="eastAsia" w:asciiTheme="minorEastAsia" w:hAnsiTheme="minorEastAsia" w:cstheme="minorEastAsia"/>
                <w:sz w:val="21"/>
                <w:szCs w:val="21"/>
              </w:rPr>
              <w:t>不锈钢</w:t>
            </w:r>
            <w:r>
              <w:rPr>
                <w:rFonts w:hint="eastAsia" w:eastAsia="宋体" w:asciiTheme="minorEastAsia" w:hAnsiTheme="minorEastAsia" w:cstheme="minorEastAsia"/>
                <w:sz w:val="21"/>
                <w:szCs w:val="21"/>
                <w:lang w:val="en-US" w:eastAsia="zh-CN"/>
              </w:rPr>
              <w:t>材质，</w:t>
            </w:r>
            <w:r>
              <w:rPr>
                <w:rFonts w:hint="eastAsia" w:asciiTheme="minorEastAsia" w:hAnsiTheme="minorEastAsia" w:cstheme="minorEastAsia"/>
                <w:sz w:val="21"/>
                <w:szCs w:val="21"/>
              </w:rPr>
              <w:t>球阀：卡套球阀、终端球阀、单向阀、安全阀、隔膜阀、阻火器</w:t>
            </w:r>
            <w:r>
              <w:rPr>
                <w:rFonts w:hint="eastAsia" w:asciiTheme="minorEastAsia" w:hAnsiTheme="minorEastAsia" w:cstheme="minorEastAsia"/>
                <w:sz w:val="21"/>
                <w:szCs w:val="21"/>
                <w:lang w:val="en-US" w:eastAsia="zh-CN"/>
              </w:rPr>
              <w:t>均采用不锈钢材质，供气管路采用</w:t>
            </w:r>
            <w:r>
              <w:rPr>
                <w:rFonts w:hint="eastAsia" w:asciiTheme="minorEastAsia" w:hAnsiTheme="minorEastAsia" w:cstheme="minorEastAsia"/>
                <w:sz w:val="21"/>
                <w:szCs w:val="21"/>
              </w:rPr>
              <w:t>316L、304不锈钢管</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rPr>
              <w:t xml:space="preserve">接头：卡套直通、卡套三通、变径卡套直通、变径卡套三通、减压器、接头、终端转接头、钢瓶接头、双外丝 </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rPr>
              <w:t xml:space="preserve"> </w:t>
            </w:r>
          </w:p>
          <w:p w14:paraId="5E1A7037">
            <w:pPr>
              <w:spacing w:line="360" w:lineRule="auto"/>
              <w:ind w:firstLine="180" w:firstLineChars="100"/>
              <w:rPr>
                <w:rFonts w:hint="eastAsia" w:eastAsia="宋体"/>
                <w:sz w:val="18"/>
                <w:szCs w:val="18"/>
                <w:lang w:val="en-US" w:eastAsia="zh-CN"/>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000DB758">
            <w:pPr>
              <w:rPr>
                <w:rFonts w:hint="eastAsia"/>
                <w:b/>
                <w:bCs/>
                <w:sz w:val="24"/>
                <w:szCs w:val="32"/>
                <w:vertAlign w:val="baseline"/>
              </w:rPr>
            </w:pPr>
            <w:r>
              <w:rPr>
                <w:rFonts w:hint="eastAsia"/>
                <w:b/>
                <w:bCs/>
                <w:sz w:val="24"/>
                <w:szCs w:val="32"/>
                <w:vertAlign w:val="baseline"/>
                <w:lang w:val="en-US" w:eastAsia="zh-CN"/>
              </w:rPr>
              <w:t>1套</w:t>
            </w:r>
          </w:p>
        </w:tc>
      </w:tr>
      <w:tr w14:paraId="03FB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3E205712">
            <w:pPr>
              <w:jc w:val="center"/>
              <w:rPr>
                <w:rFonts w:hint="default"/>
                <w:b/>
                <w:bCs/>
                <w:sz w:val="22"/>
                <w:szCs w:val="22"/>
                <w:vertAlign w:val="baseline"/>
                <w:lang w:val="en-US" w:eastAsia="zh-CN"/>
              </w:rPr>
            </w:pPr>
            <w:r>
              <w:rPr>
                <w:rFonts w:hint="eastAsia"/>
                <w:b/>
                <w:bCs/>
                <w:sz w:val="22"/>
                <w:szCs w:val="22"/>
                <w:vertAlign w:val="baseline"/>
                <w:lang w:val="en-US" w:eastAsia="zh-CN"/>
              </w:rPr>
              <w:t>5</w:t>
            </w:r>
          </w:p>
        </w:tc>
        <w:tc>
          <w:tcPr>
            <w:tcW w:w="1129" w:type="dxa"/>
          </w:tcPr>
          <w:p w14:paraId="324FB91B">
            <w:pPr>
              <w:rPr>
                <w:rFonts w:hint="eastAsia"/>
                <w:b/>
                <w:bCs/>
                <w:sz w:val="22"/>
                <w:szCs w:val="22"/>
                <w:vertAlign w:val="baseline"/>
                <w:lang w:val="en-US" w:eastAsia="zh-CN"/>
              </w:rPr>
            </w:pPr>
            <w:r>
              <w:rPr>
                <w:rFonts w:hint="eastAsia"/>
                <w:b/>
                <w:bCs/>
                <w:sz w:val="22"/>
                <w:szCs w:val="22"/>
                <w:vertAlign w:val="baseline"/>
                <w:lang w:val="en-US" w:eastAsia="zh-CN"/>
              </w:rPr>
              <w:t>通风厨</w:t>
            </w:r>
          </w:p>
        </w:tc>
        <w:tc>
          <w:tcPr>
            <w:tcW w:w="6900" w:type="dxa"/>
          </w:tcPr>
          <w:p w14:paraId="116B18DD">
            <w:pPr>
              <w:numPr>
                <w:ilvl w:val="0"/>
                <w:numId w:val="0"/>
              </w:numPr>
              <w:spacing w:line="360" w:lineRule="auto"/>
              <w:ind w:leftChars="0"/>
              <w:rPr>
                <w:rFonts w:hint="eastAsia"/>
                <w:sz w:val="18"/>
                <w:szCs w:val="18"/>
                <w:lang w:val="en-US" w:eastAsia="zh-CN"/>
              </w:rPr>
            </w:pPr>
            <w:r>
              <w:rPr>
                <w:rFonts w:hint="eastAsia"/>
                <w:sz w:val="18"/>
                <w:szCs w:val="18"/>
                <w:lang w:val="en-US" w:eastAsia="zh-CN"/>
              </w:rPr>
              <w:t>1.全钢结构，采用1.2mm厚优质冷轧钢板，表面经酸洗、磷化、抛光等处理后环氧树脂粉体喷涂，环氧树脂喷涂厚度≥75um。</w:t>
            </w:r>
          </w:p>
          <w:p w14:paraId="2375B56C">
            <w:pPr>
              <w:numPr>
                <w:ilvl w:val="0"/>
                <w:numId w:val="0"/>
              </w:numPr>
              <w:spacing w:line="360" w:lineRule="auto"/>
              <w:ind w:leftChars="0"/>
              <w:rPr>
                <w:rFonts w:hint="eastAsia"/>
                <w:sz w:val="18"/>
                <w:szCs w:val="18"/>
                <w:lang w:val="en-US" w:eastAsia="zh-CN"/>
              </w:rPr>
            </w:pPr>
            <w:r>
              <w:rPr>
                <w:rFonts w:hint="eastAsia"/>
                <w:sz w:val="18"/>
                <w:szCs w:val="18"/>
                <w:lang w:val="en-US" w:eastAsia="zh-CN"/>
              </w:rPr>
              <w:t>2.台面至少12.7厚理化板，颜色为浅蓝色。台面甲醛释放量检测达到国家标准(GB 18580-2017)E1级的技术指标要求，检测结果为合格，甲醛释放放量检测结果值小于0.01mg/M3（未检出）。；</w:t>
            </w:r>
          </w:p>
          <w:p w14:paraId="72EDC3B2">
            <w:pPr>
              <w:numPr>
                <w:ilvl w:val="0"/>
                <w:numId w:val="0"/>
              </w:numPr>
              <w:spacing w:line="360" w:lineRule="auto"/>
              <w:ind w:leftChars="0"/>
              <w:rPr>
                <w:rFonts w:hint="eastAsia"/>
                <w:sz w:val="18"/>
                <w:szCs w:val="18"/>
                <w:lang w:val="en-US" w:eastAsia="zh-CN"/>
              </w:rPr>
            </w:pPr>
            <w:r>
              <w:rPr>
                <w:rFonts w:hint="eastAsia"/>
                <w:sz w:val="18"/>
                <w:szCs w:val="18"/>
                <w:lang w:val="en-US" w:eastAsia="zh-CN"/>
              </w:rPr>
              <w:t>3.内衬及导流板采用5mm厚用5mm厚抗倍特板，三段式导流板安装位置与角度能使排气均匀分布，无死角，不会产生紊流或涡流现象，可根据实验内容的气体比重调节排风量比例，更快排出有害气体；</w:t>
            </w:r>
          </w:p>
          <w:p w14:paraId="397F3C8F">
            <w:pPr>
              <w:numPr>
                <w:ilvl w:val="0"/>
                <w:numId w:val="0"/>
              </w:numPr>
              <w:spacing w:line="360" w:lineRule="auto"/>
              <w:ind w:leftChars="0"/>
              <w:rPr>
                <w:rFonts w:hint="eastAsia"/>
                <w:sz w:val="18"/>
                <w:szCs w:val="18"/>
                <w:lang w:val="en-US" w:eastAsia="zh-CN"/>
              </w:rPr>
            </w:pPr>
            <w:r>
              <w:rPr>
                <w:rFonts w:hint="eastAsia"/>
                <w:sz w:val="18"/>
                <w:szCs w:val="18"/>
                <w:lang w:val="en-US" w:eastAsia="zh-CN"/>
              </w:rPr>
              <w:t>4.同步带轮式结构，玻璃纤维为强力层，外覆聚氨酯或氯丁橡胶环形带，带内周制成齿状，使其与齿形带轮啮合。传动准确，结构紧凑，耐油耐磨抗老化性好；</w:t>
            </w:r>
          </w:p>
          <w:p w14:paraId="5109AC1B">
            <w:pPr>
              <w:numPr>
                <w:ilvl w:val="0"/>
                <w:numId w:val="0"/>
              </w:numPr>
              <w:spacing w:line="360" w:lineRule="auto"/>
              <w:ind w:leftChars="0"/>
              <w:rPr>
                <w:rFonts w:hint="eastAsia"/>
                <w:sz w:val="18"/>
                <w:szCs w:val="18"/>
                <w:lang w:val="en-US" w:eastAsia="zh-CN"/>
              </w:rPr>
            </w:pPr>
            <w:r>
              <w:rPr>
                <w:rFonts w:hint="eastAsia"/>
                <w:sz w:val="18"/>
                <w:szCs w:val="18"/>
                <w:lang w:val="en-US" w:eastAsia="zh-CN"/>
              </w:rPr>
              <w:t>5.视窗采用5mm钢化防爆玻璃，降升自如，无噪音，可停在任意位置；</w:t>
            </w:r>
          </w:p>
          <w:p w14:paraId="079E2D3E">
            <w:pPr>
              <w:numPr>
                <w:ilvl w:val="0"/>
                <w:numId w:val="0"/>
              </w:numPr>
              <w:spacing w:line="360" w:lineRule="auto"/>
              <w:ind w:leftChars="0"/>
              <w:rPr>
                <w:rFonts w:hint="eastAsia"/>
                <w:sz w:val="18"/>
                <w:szCs w:val="18"/>
                <w:lang w:val="en-US" w:eastAsia="zh-CN"/>
              </w:rPr>
            </w:pPr>
            <w:r>
              <w:rPr>
                <w:rFonts w:hint="eastAsia"/>
                <w:sz w:val="18"/>
                <w:szCs w:val="18"/>
                <w:lang w:val="en-US" w:eastAsia="zh-CN"/>
              </w:rPr>
              <w:t>6.在侧板边柱上配置有操作面板，照明灯开关及风机开关等；</w:t>
            </w:r>
          </w:p>
          <w:p w14:paraId="75AC5DB4">
            <w:pPr>
              <w:numPr>
                <w:ilvl w:val="0"/>
                <w:numId w:val="0"/>
              </w:numPr>
              <w:spacing w:line="360" w:lineRule="auto"/>
              <w:ind w:leftChars="0"/>
              <w:rPr>
                <w:rFonts w:hint="eastAsia"/>
                <w:sz w:val="18"/>
                <w:szCs w:val="18"/>
                <w:lang w:val="en-US" w:eastAsia="zh-CN"/>
              </w:rPr>
            </w:pPr>
            <w:r>
              <w:rPr>
                <w:rFonts w:hint="eastAsia"/>
                <w:sz w:val="18"/>
                <w:szCs w:val="18"/>
                <w:lang w:val="en-US" w:eastAsia="zh-CN"/>
              </w:rPr>
              <w:t>7.顶部采用一体成型集气罩，充分收集废气，有效排放有害气体；</w:t>
            </w:r>
          </w:p>
          <w:p w14:paraId="7098ED87">
            <w:pPr>
              <w:numPr>
                <w:ilvl w:val="0"/>
                <w:numId w:val="0"/>
              </w:numPr>
              <w:spacing w:line="360" w:lineRule="auto"/>
              <w:ind w:leftChars="0"/>
              <w:rPr>
                <w:rFonts w:hint="eastAsia"/>
                <w:sz w:val="18"/>
                <w:szCs w:val="18"/>
                <w:lang w:val="en-US" w:eastAsia="zh-CN"/>
              </w:rPr>
            </w:pPr>
            <w:r>
              <w:rPr>
                <w:rFonts w:hint="eastAsia"/>
                <w:sz w:val="18"/>
                <w:szCs w:val="18"/>
                <w:lang w:val="en-US" w:eastAsia="zh-CN"/>
              </w:rPr>
              <w:t>8.内嵌式日光灯1套，五孔插座4个（带防水盖）；</w:t>
            </w:r>
          </w:p>
          <w:p w14:paraId="2236A02B">
            <w:pPr>
              <w:numPr>
                <w:ilvl w:val="0"/>
                <w:numId w:val="0"/>
              </w:numPr>
              <w:spacing w:line="360" w:lineRule="auto"/>
              <w:ind w:leftChars="0"/>
              <w:rPr>
                <w:rFonts w:hint="eastAsia"/>
                <w:sz w:val="18"/>
                <w:szCs w:val="18"/>
                <w:lang w:val="en-US" w:eastAsia="zh-CN"/>
              </w:rPr>
            </w:pPr>
            <w:r>
              <w:rPr>
                <w:rFonts w:hint="eastAsia"/>
                <w:sz w:val="18"/>
                <w:szCs w:val="18"/>
                <w:lang w:val="en-US" w:eastAsia="zh-CN"/>
              </w:rPr>
              <w:t>9.背板可拆卸，便于水路和电路的安装、维护；</w:t>
            </w:r>
          </w:p>
          <w:p w14:paraId="1BE6130C">
            <w:pPr>
              <w:numPr>
                <w:ilvl w:val="0"/>
                <w:numId w:val="0"/>
              </w:numPr>
              <w:spacing w:line="360" w:lineRule="auto"/>
              <w:ind w:leftChars="0"/>
              <w:rPr>
                <w:rFonts w:hint="default"/>
                <w:sz w:val="18"/>
                <w:szCs w:val="18"/>
                <w:lang w:val="en-US" w:eastAsia="zh-CN"/>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00A3AB1B">
            <w:pPr>
              <w:rPr>
                <w:rFonts w:hint="eastAsia"/>
                <w:b/>
                <w:bCs/>
                <w:sz w:val="24"/>
                <w:szCs w:val="32"/>
                <w:vertAlign w:val="baseline"/>
              </w:rPr>
            </w:pPr>
            <w:r>
              <w:rPr>
                <w:rFonts w:hint="eastAsia"/>
                <w:b/>
                <w:bCs/>
                <w:sz w:val="24"/>
                <w:szCs w:val="32"/>
                <w:vertAlign w:val="baseline"/>
                <w:lang w:val="en-US" w:eastAsia="zh-CN"/>
              </w:rPr>
              <w:t>3套</w:t>
            </w:r>
          </w:p>
        </w:tc>
      </w:tr>
      <w:tr w14:paraId="722A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09E6657A">
            <w:pPr>
              <w:jc w:val="center"/>
              <w:rPr>
                <w:rFonts w:hint="default"/>
                <w:b/>
                <w:bCs/>
                <w:sz w:val="22"/>
                <w:szCs w:val="22"/>
                <w:vertAlign w:val="baseline"/>
                <w:lang w:val="en-US" w:eastAsia="zh-CN"/>
              </w:rPr>
            </w:pPr>
            <w:r>
              <w:rPr>
                <w:rFonts w:hint="eastAsia"/>
                <w:b/>
                <w:bCs/>
                <w:sz w:val="22"/>
                <w:szCs w:val="22"/>
                <w:vertAlign w:val="baseline"/>
                <w:lang w:val="en-US" w:eastAsia="zh-CN"/>
              </w:rPr>
              <w:t>6</w:t>
            </w:r>
          </w:p>
        </w:tc>
        <w:tc>
          <w:tcPr>
            <w:tcW w:w="1129" w:type="dxa"/>
          </w:tcPr>
          <w:p w14:paraId="7FEE76F3">
            <w:pPr>
              <w:rPr>
                <w:rFonts w:hint="eastAsia"/>
                <w:b/>
                <w:bCs/>
                <w:sz w:val="22"/>
                <w:szCs w:val="22"/>
                <w:vertAlign w:val="baseline"/>
                <w:lang w:val="en-US" w:eastAsia="zh-CN"/>
              </w:rPr>
            </w:pPr>
            <w:r>
              <w:rPr>
                <w:rFonts w:hint="eastAsia" w:cstheme="minorBidi"/>
                <w:b/>
                <w:bCs/>
                <w:kern w:val="2"/>
                <w:sz w:val="22"/>
                <w:szCs w:val="22"/>
                <w:vertAlign w:val="baseline"/>
                <w:lang w:val="en-US" w:eastAsia="zh-CN" w:bidi="ar-SA"/>
              </w:rPr>
              <w:t>设备实验室操作台</w:t>
            </w:r>
          </w:p>
        </w:tc>
        <w:tc>
          <w:tcPr>
            <w:tcW w:w="6900" w:type="dxa"/>
          </w:tcPr>
          <w:p w14:paraId="06F7D907">
            <w:pPr>
              <w:numPr>
                <w:ilvl w:val="0"/>
                <w:numId w:val="0"/>
              </w:numPr>
              <w:spacing w:line="360" w:lineRule="auto"/>
              <w:ind w:leftChars="0"/>
              <w:rPr>
                <w:rFonts w:hint="eastAsia"/>
                <w:sz w:val="18"/>
                <w:szCs w:val="18"/>
                <w:lang w:val="en-US" w:eastAsia="zh-CN"/>
              </w:rPr>
            </w:pPr>
            <w:r>
              <w:rPr>
                <w:rFonts w:hint="eastAsia"/>
                <w:sz w:val="18"/>
                <w:szCs w:val="18"/>
                <w:lang w:val="en-US" w:eastAsia="zh-CN"/>
              </w:rPr>
              <w:t>1.全钢结构，采用1.2mm厚优质冷轧钢板，表面经酸洗、磷化、抛光等处理后环氧树脂粉体喷涂，环氧树脂喷涂厚度≥75um。</w:t>
            </w:r>
          </w:p>
          <w:p w14:paraId="0174E696">
            <w:pPr>
              <w:numPr>
                <w:ilvl w:val="0"/>
                <w:numId w:val="0"/>
              </w:numPr>
              <w:spacing w:line="360" w:lineRule="auto"/>
              <w:ind w:leftChars="0"/>
              <w:rPr>
                <w:rFonts w:hint="eastAsia"/>
                <w:sz w:val="18"/>
                <w:szCs w:val="18"/>
                <w:lang w:val="en-US" w:eastAsia="zh-CN"/>
              </w:rPr>
            </w:pPr>
            <w:r>
              <w:rPr>
                <w:rFonts w:hint="eastAsia"/>
                <w:sz w:val="18"/>
                <w:szCs w:val="18"/>
                <w:lang w:val="en-US" w:eastAsia="zh-CN"/>
              </w:rPr>
              <w:t>2.台面至少12.7厚理化板，颜色为浅蓝色。台面甲醛释放量检测达到国家标准(GB 18580-2017)E1级的技术指标要求，检测结果为合格，甲醛释放放量检测结果值小于0.01mg/M3（未检出）。</w:t>
            </w:r>
          </w:p>
          <w:p w14:paraId="51AADB94">
            <w:pPr>
              <w:numPr>
                <w:ilvl w:val="0"/>
                <w:numId w:val="0"/>
              </w:numPr>
              <w:spacing w:line="360" w:lineRule="auto"/>
              <w:ind w:leftChars="0"/>
              <w:rPr>
                <w:rFonts w:hint="eastAsia"/>
                <w:sz w:val="18"/>
                <w:szCs w:val="18"/>
                <w:lang w:val="en-US" w:eastAsia="zh-CN"/>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7E854220">
            <w:pPr>
              <w:rPr>
                <w:rFonts w:hint="default"/>
                <w:b/>
                <w:bCs/>
                <w:sz w:val="24"/>
                <w:szCs w:val="32"/>
                <w:vertAlign w:val="baseline"/>
                <w:lang w:val="en-US" w:eastAsia="zh-CN"/>
              </w:rPr>
            </w:pPr>
            <w:r>
              <w:rPr>
                <w:rFonts w:hint="eastAsia"/>
                <w:b/>
                <w:bCs/>
                <w:sz w:val="24"/>
                <w:szCs w:val="32"/>
                <w:vertAlign w:val="baseline"/>
                <w:lang w:val="en-US" w:eastAsia="zh-CN"/>
              </w:rPr>
              <w:t>1套</w:t>
            </w:r>
          </w:p>
        </w:tc>
      </w:tr>
      <w:tr w14:paraId="7E6EC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5331EC94">
            <w:pPr>
              <w:jc w:val="center"/>
              <w:rPr>
                <w:rFonts w:hint="default"/>
                <w:b/>
                <w:bCs/>
                <w:sz w:val="22"/>
                <w:szCs w:val="22"/>
                <w:vertAlign w:val="baseline"/>
                <w:lang w:val="en-US" w:eastAsia="zh-CN"/>
              </w:rPr>
            </w:pPr>
            <w:r>
              <w:rPr>
                <w:rFonts w:hint="eastAsia"/>
                <w:b/>
                <w:bCs/>
                <w:sz w:val="22"/>
                <w:szCs w:val="22"/>
                <w:vertAlign w:val="baseline"/>
                <w:lang w:val="en-US" w:eastAsia="zh-CN"/>
              </w:rPr>
              <w:t>7</w:t>
            </w:r>
          </w:p>
        </w:tc>
        <w:tc>
          <w:tcPr>
            <w:tcW w:w="1129" w:type="dxa"/>
          </w:tcPr>
          <w:p w14:paraId="7CCA529E">
            <w:pPr>
              <w:rPr>
                <w:rFonts w:hint="default"/>
                <w:b/>
                <w:bCs/>
                <w:sz w:val="22"/>
                <w:szCs w:val="22"/>
                <w:vertAlign w:val="baseline"/>
                <w:lang w:val="en-US" w:eastAsia="zh-CN"/>
              </w:rPr>
            </w:pPr>
            <w:r>
              <w:rPr>
                <w:rFonts w:hint="eastAsia"/>
                <w:b/>
                <w:bCs/>
                <w:sz w:val="22"/>
                <w:szCs w:val="22"/>
                <w:vertAlign w:val="baseline"/>
                <w:lang w:val="en-US" w:eastAsia="zh-CN"/>
              </w:rPr>
              <w:t>试剂柜</w:t>
            </w:r>
          </w:p>
        </w:tc>
        <w:tc>
          <w:tcPr>
            <w:tcW w:w="6900" w:type="dxa"/>
          </w:tcPr>
          <w:p w14:paraId="66C18E85">
            <w:pPr>
              <w:numPr>
                <w:ilvl w:val="0"/>
                <w:numId w:val="0"/>
              </w:numPr>
              <w:spacing w:line="360" w:lineRule="auto"/>
              <w:ind w:leftChars="0"/>
              <w:rPr>
                <w:rFonts w:hint="eastAsia"/>
                <w:sz w:val="18"/>
                <w:szCs w:val="18"/>
                <w:lang w:val="en-US" w:eastAsia="zh-CN"/>
              </w:rPr>
            </w:pPr>
            <w:r>
              <w:rPr>
                <w:rFonts w:hint="eastAsia"/>
                <w:sz w:val="18"/>
                <w:szCs w:val="18"/>
                <w:lang w:val="en-US" w:eastAsia="zh-CN"/>
              </w:rPr>
              <w:t>1、柜体主材：1.00mm优质冷轧钢板，表面经环氧树脂静电喷涂。</w:t>
            </w:r>
          </w:p>
        </w:tc>
        <w:tc>
          <w:tcPr>
            <w:tcW w:w="928" w:type="dxa"/>
          </w:tcPr>
          <w:p w14:paraId="7F25C5BF">
            <w:pPr>
              <w:rPr>
                <w:rFonts w:hint="eastAsia"/>
                <w:b/>
                <w:bCs/>
                <w:sz w:val="24"/>
                <w:szCs w:val="32"/>
                <w:vertAlign w:val="baseline"/>
              </w:rPr>
            </w:pPr>
            <w:r>
              <w:rPr>
                <w:rFonts w:hint="eastAsia"/>
                <w:b/>
                <w:bCs/>
                <w:sz w:val="24"/>
                <w:szCs w:val="32"/>
                <w:vertAlign w:val="baseline"/>
                <w:lang w:val="en-US" w:eastAsia="zh-CN"/>
              </w:rPr>
              <w:t>2套</w:t>
            </w:r>
          </w:p>
        </w:tc>
      </w:tr>
      <w:tr w14:paraId="4C07E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tcPr>
          <w:p w14:paraId="2389191E">
            <w:pPr>
              <w:jc w:val="center"/>
              <w:rPr>
                <w:rFonts w:hint="default"/>
                <w:b/>
                <w:bCs/>
                <w:sz w:val="22"/>
                <w:szCs w:val="22"/>
                <w:vertAlign w:val="baseline"/>
                <w:lang w:val="en-US" w:eastAsia="zh-CN"/>
              </w:rPr>
            </w:pPr>
            <w:r>
              <w:rPr>
                <w:rFonts w:hint="eastAsia"/>
                <w:b/>
                <w:bCs/>
                <w:sz w:val="22"/>
                <w:szCs w:val="22"/>
                <w:vertAlign w:val="baseline"/>
                <w:lang w:val="en-US" w:eastAsia="zh-CN"/>
              </w:rPr>
              <w:t>8</w:t>
            </w:r>
          </w:p>
        </w:tc>
        <w:tc>
          <w:tcPr>
            <w:tcW w:w="1129" w:type="dxa"/>
          </w:tcPr>
          <w:p w14:paraId="39CD1F67">
            <w:pPr>
              <w:rPr>
                <w:rFonts w:hint="eastAsia"/>
                <w:b/>
                <w:bCs/>
                <w:sz w:val="22"/>
                <w:szCs w:val="22"/>
                <w:vertAlign w:val="baseline"/>
                <w:lang w:val="en-US" w:eastAsia="zh-CN"/>
              </w:rPr>
            </w:pPr>
            <w:r>
              <w:rPr>
                <w:rFonts w:hint="eastAsia"/>
                <w:b/>
                <w:bCs/>
                <w:sz w:val="22"/>
                <w:szCs w:val="22"/>
                <w:vertAlign w:val="baseline"/>
                <w:lang w:val="en-US" w:eastAsia="zh-CN"/>
              </w:rPr>
              <w:t>配套施工</w:t>
            </w:r>
          </w:p>
        </w:tc>
        <w:tc>
          <w:tcPr>
            <w:tcW w:w="6900" w:type="dxa"/>
          </w:tcPr>
          <w:p w14:paraId="361BF7AB">
            <w:pPr>
              <w:widowControl/>
              <w:spacing w:line="360" w:lineRule="auto"/>
              <w:jc w:val="left"/>
              <w:rPr>
                <w:rFonts w:hint="eastAsia" w:ascii="宋体" w:hAnsi="宋体"/>
                <w:color w:val="000000"/>
                <w:sz w:val="21"/>
                <w:szCs w:val="21"/>
              </w:rPr>
            </w:pPr>
            <w:r>
              <w:rPr>
                <w:rFonts w:hint="eastAsia" w:ascii="宋体" w:hAnsi="宋体"/>
                <w:color w:val="000000"/>
                <w:sz w:val="21"/>
                <w:szCs w:val="21"/>
              </w:rPr>
              <w:t>根据该工程施工工期要求，结合现场实际情况，组织成立了以项目经理负责的项目部，实施该项目全过程管理职能，对工程的设计、材料采购、生产制造、运输到施工安装进行全方位的管理。以质量、工期、安全为中心，以施工阶段为重点，积极配合建设方、总包的方各项工作，协调内部系统及外部的工作。</w:t>
            </w:r>
          </w:p>
          <w:p w14:paraId="7A33467F">
            <w:pPr>
              <w:widowControl/>
              <w:spacing w:line="360" w:lineRule="auto"/>
              <w:jc w:val="left"/>
              <w:rPr>
                <w:rFonts w:hint="eastAsia" w:ascii="宋体" w:hAnsi="宋体"/>
                <w:color w:val="000000"/>
                <w:sz w:val="21"/>
                <w:szCs w:val="21"/>
              </w:rPr>
            </w:pPr>
            <w:r>
              <w:rPr>
                <w:rFonts w:hint="eastAsia" w:ascii="宋体" w:hAnsi="宋体"/>
                <w:color w:val="000000"/>
                <w:sz w:val="21"/>
                <w:szCs w:val="21"/>
                <w:lang w:val="en-US" w:eastAsia="zh-CN"/>
              </w:rPr>
              <w:t>现场项目负责人</w:t>
            </w:r>
            <w:r>
              <w:rPr>
                <w:rFonts w:hint="eastAsia" w:ascii="宋体" w:hAnsi="宋体"/>
                <w:color w:val="000000"/>
                <w:sz w:val="21"/>
                <w:szCs w:val="21"/>
              </w:rPr>
              <w:t>全面负责，在施工现场具有绝对的领导权力，全面负责现场施工质量管理，安全管理，进度管理，现场文明施工管理，对于现场的资金，材料，人工进行合理的安排，根据工程具体施工进度情况有权合理调配资金。</w:t>
            </w:r>
          </w:p>
          <w:p w14:paraId="5A27ACCB">
            <w:pPr>
              <w:widowControl/>
              <w:spacing w:line="360" w:lineRule="auto"/>
              <w:jc w:val="left"/>
              <w:rPr>
                <w:rFonts w:hint="default" w:ascii="宋体" w:hAnsi="宋体"/>
                <w:color w:val="000000"/>
                <w:sz w:val="21"/>
                <w:szCs w:val="21"/>
                <w:lang w:val="en-US" w:eastAsia="zh-CN"/>
              </w:rPr>
            </w:pPr>
            <w:r>
              <w:rPr>
                <w:rFonts w:hint="eastAsia" w:asciiTheme="minorHAnsi" w:hAnsiTheme="minorHAnsi" w:eastAsiaTheme="minorEastAsia" w:cstheme="minorBidi"/>
                <w:kern w:val="2"/>
                <w:sz w:val="18"/>
                <w:szCs w:val="18"/>
                <w:lang w:val="en-US" w:eastAsia="zh-CN" w:bidi="ar-SA"/>
              </w:rPr>
              <w:t>根据实际需求，满足实际需要。</w:t>
            </w:r>
          </w:p>
        </w:tc>
        <w:tc>
          <w:tcPr>
            <w:tcW w:w="928" w:type="dxa"/>
          </w:tcPr>
          <w:p w14:paraId="1EB084AE">
            <w:pPr>
              <w:rPr>
                <w:rFonts w:hint="eastAsia"/>
                <w:b/>
                <w:bCs/>
                <w:sz w:val="24"/>
                <w:szCs w:val="32"/>
                <w:vertAlign w:val="baseline"/>
              </w:rPr>
            </w:pPr>
            <w:r>
              <w:rPr>
                <w:rFonts w:hint="eastAsia"/>
                <w:b/>
                <w:bCs/>
                <w:sz w:val="24"/>
                <w:szCs w:val="32"/>
                <w:vertAlign w:val="baseline"/>
                <w:lang w:val="en-US" w:eastAsia="zh-CN"/>
              </w:rPr>
              <w:t>1套</w:t>
            </w:r>
          </w:p>
        </w:tc>
      </w:tr>
    </w:tbl>
    <w:p w14:paraId="03E43B3B">
      <w:pPr>
        <w:rPr>
          <w:rFonts w:hint="eastAsia"/>
          <w:b/>
          <w:bCs/>
          <w:sz w:val="24"/>
          <w:szCs w:val="32"/>
        </w:rPr>
      </w:pPr>
    </w:p>
    <w:p w14:paraId="0AC7E96C">
      <w:pPr>
        <w:pStyle w:val="2"/>
        <w:spacing w:line="360" w:lineRule="auto"/>
        <w:jc w:val="left"/>
        <w:rPr>
          <w:rFonts w:hint="eastAsia"/>
          <w:sz w:val="28"/>
          <w:szCs w:val="18"/>
          <w:lang w:eastAsia="zh-CN"/>
        </w:rPr>
      </w:pPr>
      <w:r>
        <w:rPr>
          <w:rFonts w:hint="eastAsia"/>
          <w:sz w:val="28"/>
          <w:szCs w:val="18"/>
          <w:lang w:val="en-US" w:eastAsia="zh-CN"/>
        </w:rPr>
        <w:t>（三）</w:t>
      </w:r>
      <w:r>
        <w:rPr>
          <w:rFonts w:hint="eastAsia"/>
          <w:sz w:val="28"/>
          <w:szCs w:val="18"/>
          <w:lang w:eastAsia="zh-CN"/>
        </w:rPr>
        <w:t>技术服务及售后服务</w:t>
      </w:r>
    </w:p>
    <w:p w14:paraId="454BDE5F">
      <w:pPr>
        <w:pStyle w:val="3"/>
        <w:spacing w:line="360" w:lineRule="auto"/>
        <w:jc w:val="left"/>
        <w:rPr>
          <w:rFonts w:hint="eastAsia" w:ascii="宋体" w:hAnsi="宋体" w:eastAsia="宋体" w:cs="宋体"/>
          <w:sz w:val="22"/>
          <w:szCs w:val="20"/>
          <w:lang w:val="en-US" w:eastAsia="zh-CN"/>
        </w:rPr>
      </w:pPr>
      <w:bookmarkStart w:id="1" w:name="_Toc29842"/>
      <w:bookmarkStart w:id="2" w:name="_Toc2289"/>
      <w:bookmarkStart w:id="3" w:name="_Toc28093"/>
      <w:bookmarkStart w:id="4" w:name="_Toc6278"/>
      <w:bookmarkStart w:id="5" w:name="_Toc14578"/>
      <w:r>
        <w:rPr>
          <w:rFonts w:hint="eastAsia" w:ascii="宋体" w:hAnsi="宋体" w:eastAsia="宋体" w:cs="宋体"/>
          <w:sz w:val="22"/>
          <w:szCs w:val="20"/>
          <w:lang w:val="en-US" w:eastAsia="zh-CN"/>
        </w:rPr>
        <w:t>一、系统培训和技术服务保证</w:t>
      </w:r>
      <w:bookmarkEnd w:id="1"/>
      <w:bookmarkEnd w:id="2"/>
      <w:bookmarkEnd w:id="3"/>
      <w:bookmarkEnd w:id="4"/>
      <w:bookmarkEnd w:id="5"/>
    </w:p>
    <w:p w14:paraId="1AA808F4">
      <w:pPr>
        <w:pStyle w:val="4"/>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1、使用人员的培训</w:t>
      </w:r>
    </w:p>
    <w:p w14:paraId="7473A077">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为了让使用人员熟悉并掌握通风系统的使用及维护我方将在工程安装结束时派专业技术人员（工程师及以上）对使用相应人员进行必要的技术培训。培训应在设备安装现场进行。</w:t>
      </w:r>
    </w:p>
    <w:p w14:paraId="4589A83F">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培训要求：使用方将派相关技术人员参加培训；我方安排专业技术人员对使用方技术人员进行有效的培训，并负责解释和回答使用方技术人员提出的技术问题；通过培训，我方使使用方的技术人员熟悉并掌握本专业内的基础知识培训内容：现场服务及培训计划表</w:t>
      </w:r>
    </w:p>
    <w:tbl>
      <w:tblPr>
        <w:tblStyle w:val="10"/>
        <w:tblW w:w="4997" w:type="pct"/>
        <w:jc w:val="cente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28" w:type="dxa"/>
          <w:bottom w:w="0" w:type="dxa"/>
          <w:right w:w="28" w:type="dxa"/>
        </w:tblCellMar>
      </w:tblPr>
      <w:tblGrid>
        <w:gridCol w:w="783"/>
        <w:gridCol w:w="3904"/>
        <w:gridCol w:w="1176"/>
        <w:gridCol w:w="1234"/>
        <w:gridCol w:w="2833"/>
      </w:tblGrid>
      <w:tr w14:paraId="2C1C0F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trHeight w:val="314" w:hRule="atLeast"/>
          <w:jc w:val="center"/>
        </w:trPr>
        <w:tc>
          <w:tcPr>
            <w:tcW w:w="394" w:type="pct"/>
            <w:vMerge w:val="restart"/>
            <w:noWrap w:val="0"/>
            <w:vAlign w:val="center"/>
          </w:tcPr>
          <w:p w14:paraId="1C2F69E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bookmarkStart w:id="6" w:name="_Hlk315943376"/>
            <w:r>
              <w:rPr>
                <w:rFonts w:hint="eastAsia" w:ascii="宋体" w:hAnsi="宋体" w:eastAsia="宋体" w:cs="宋体"/>
                <w:sz w:val="21"/>
                <w:szCs w:val="21"/>
                <w:lang w:val="en-US" w:eastAsia="zh-CN"/>
              </w:rPr>
              <w:t>序号</w:t>
            </w:r>
          </w:p>
        </w:tc>
        <w:tc>
          <w:tcPr>
            <w:tcW w:w="1965" w:type="pct"/>
            <w:vMerge w:val="restart"/>
            <w:noWrap w:val="0"/>
            <w:vAlign w:val="center"/>
          </w:tcPr>
          <w:p w14:paraId="03E3AA1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技术服务内容</w:t>
            </w:r>
          </w:p>
        </w:tc>
        <w:tc>
          <w:tcPr>
            <w:tcW w:w="1213" w:type="pct"/>
            <w:gridSpan w:val="2"/>
            <w:noWrap w:val="0"/>
            <w:vAlign w:val="center"/>
          </w:tcPr>
          <w:p w14:paraId="77A232C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派出人员构成</w:t>
            </w:r>
          </w:p>
        </w:tc>
        <w:tc>
          <w:tcPr>
            <w:tcW w:w="1426" w:type="pct"/>
            <w:vMerge w:val="restart"/>
            <w:noWrap w:val="0"/>
            <w:vAlign w:val="center"/>
          </w:tcPr>
          <w:p w14:paraId="52EBD08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备注</w:t>
            </w:r>
          </w:p>
        </w:tc>
      </w:tr>
      <w:tr w14:paraId="422ABF3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394" w:type="pct"/>
            <w:vMerge w:val="continue"/>
            <w:noWrap w:val="0"/>
            <w:vAlign w:val="center"/>
          </w:tcPr>
          <w:p w14:paraId="0F18A87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p>
        </w:tc>
        <w:tc>
          <w:tcPr>
            <w:tcW w:w="1965" w:type="pct"/>
            <w:vMerge w:val="continue"/>
            <w:noWrap w:val="0"/>
            <w:vAlign w:val="center"/>
          </w:tcPr>
          <w:p w14:paraId="2D4863F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p>
        </w:tc>
        <w:tc>
          <w:tcPr>
            <w:tcW w:w="592" w:type="pct"/>
            <w:noWrap w:val="0"/>
            <w:vAlign w:val="center"/>
          </w:tcPr>
          <w:p w14:paraId="224BCD7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职称</w:t>
            </w:r>
          </w:p>
        </w:tc>
        <w:tc>
          <w:tcPr>
            <w:tcW w:w="621" w:type="pct"/>
            <w:noWrap w:val="0"/>
            <w:vAlign w:val="center"/>
          </w:tcPr>
          <w:p w14:paraId="4D5049A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人数</w:t>
            </w:r>
          </w:p>
        </w:tc>
        <w:tc>
          <w:tcPr>
            <w:tcW w:w="1426" w:type="pct"/>
            <w:vMerge w:val="continue"/>
            <w:noWrap w:val="0"/>
            <w:vAlign w:val="center"/>
          </w:tcPr>
          <w:p w14:paraId="73B1818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p>
        </w:tc>
      </w:tr>
      <w:tr w14:paraId="0D0C56DA">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394" w:type="pct"/>
            <w:noWrap w:val="0"/>
            <w:vAlign w:val="center"/>
          </w:tcPr>
          <w:p w14:paraId="3917F5DA">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bookmarkStart w:id="7" w:name="_Hlk315943410"/>
            <w:r>
              <w:rPr>
                <w:rFonts w:hint="eastAsia" w:ascii="宋体" w:hAnsi="宋体" w:cs="宋体"/>
                <w:sz w:val="21"/>
                <w:szCs w:val="21"/>
                <w:lang w:val="en-US" w:eastAsia="zh-CN"/>
              </w:rPr>
              <w:t>1</w:t>
            </w:r>
          </w:p>
        </w:tc>
        <w:tc>
          <w:tcPr>
            <w:tcW w:w="1965" w:type="pct"/>
            <w:noWrap w:val="0"/>
            <w:vAlign w:val="center"/>
          </w:tcPr>
          <w:p w14:paraId="39D22EC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在调试阶段，我方派工程技术人员到现场调试并讲解。</w:t>
            </w:r>
          </w:p>
        </w:tc>
        <w:tc>
          <w:tcPr>
            <w:tcW w:w="592" w:type="pct"/>
            <w:noWrap w:val="0"/>
            <w:vAlign w:val="center"/>
          </w:tcPr>
          <w:p w14:paraId="6F5CDF2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工程师</w:t>
            </w:r>
          </w:p>
        </w:tc>
        <w:tc>
          <w:tcPr>
            <w:tcW w:w="621" w:type="pct"/>
            <w:noWrap w:val="0"/>
            <w:vAlign w:val="center"/>
          </w:tcPr>
          <w:p w14:paraId="04B706D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1人</w:t>
            </w:r>
          </w:p>
        </w:tc>
        <w:tc>
          <w:tcPr>
            <w:tcW w:w="1426" w:type="pct"/>
            <w:noWrap w:val="0"/>
            <w:vAlign w:val="center"/>
          </w:tcPr>
          <w:p w14:paraId="100D1D5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负责在调试过程对业方技术人员进行调试方法现场解释</w:t>
            </w:r>
          </w:p>
        </w:tc>
      </w:tr>
      <w:tr w14:paraId="146EBD31">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394" w:type="pct"/>
            <w:noWrap w:val="0"/>
            <w:vAlign w:val="center"/>
          </w:tcPr>
          <w:p w14:paraId="1B66EF9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bookmarkStart w:id="8" w:name="_Hlk315943405"/>
            <w:r>
              <w:rPr>
                <w:rFonts w:hint="eastAsia" w:ascii="宋体" w:hAnsi="宋体" w:cs="宋体"/>
                <w:sz w:val="21"/>
                <w:szCs w:val="21"/>
                <w:lang w:val="en-US" w:eastAsia="zh-CN"/>
              </w:rPr>
              <w:t>2</w:t>
            </w:r>
          </w:p>
        </w:tc>
        <w:tc>
          <w:tcPr>
            <w:tcW w:w="1965" w:type="pct"/>
            <w:noWrap w:val="0"/>
            <w:vAlign w:val="center"/>
          </w:tcPr>
          <w:p w14:paraId="00BD3BB7">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在试运行阶段，我方派工程技术人员进行日常使用及现场故障处理讲解。</w:t>
            </w:r>
          </w:p>
        </w:tc>
        <w:tc>
          <w:tcPr>
            <w:tcW w:w="592" w:type="pct"/>
            <w:noWrap w:val="0"/>
            <w:vAlign w:val="center"/>
          </w:tcPr>
          <w:p w14:paraId="69E4184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技术员</w:t>
            </w:r>
          </w:p>
        </w:tc>
        <w:tc>
          <w:tcPr>
            <w:tcW w:w="621" w:type="pct"/>
            <w:noWrap w:val="0"/>
            <w:vAlign w:val="center"/>
          </w:tcPr>
          <w:p w14:paraId="3AA11C5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1人</w:t>
            </w:r>
          </w:p>
        </w:tc>
        <w:tc>
          <w:tcPr>
            <w:tcW w:w="1426" w:type="pct"/>
            <w:noWrap w:val="0"/>
            <w:vAlign w:val="center"/>
          </w:tcPr>
          <w:p w14:paraId="76AAE2C5">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负责在试运行过程对业方技术人员、维保人员进行总体培训</w:t>
            </w:r>
          </w:p>
        </w:tc>
      </w:tr>
      <w:tr w14:paraId="3C6D4D9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394" w:type="pct"/>
            <w:noWrap w:val="0"/>
            <w:vAlign w:val="center"/>
          </w:tcPr>
          <w:p w14:paraId="0E46AB1E">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965" w:type="pct"/>
            <w:noWrap w:val="0"/>
            <w:vAlign w:val="center"/>
          </w:tcPr>
          <w:p w14:paraId="64C7284C">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设备的维护保养，运行记录、定期检查及季节性开、停机</w:t>
            </w:r>
          </w:p>
        </w:tc>
        <w:tc>
          <w:tcPr>
            <w:tcW w:w="592" w:type="pct"/>
            <w:noWrap w:val="0"/>
            <w:vAlign w:val="center"/>
          </w:tcPr>
          <w:p w14:paraId="0AB38C2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技术员</w:t>
            </w:r>
          </w:p>
        </w:tc>
        <w:tc>
          <w:tcPr>
            <w:tcW w:w="621" w:type="pct"/>
            <w:noWrap w:val="0"/>
            <w:vAlign w:val="center"/>
          </w:tcPr>
          <w:p w14:paraId="2201AD8F">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1人</w:t>
            </w:r>
          </w:p>
        </w:tc>
        <w:tc>
          <w:tcPr>
            <w:tcW w:w="1426" w:type="pct"/>
            <w:noWrap w:val="0"/>
            <w:vAlign w:val="center"/>
          </w:tcPr>
          <w:p w14:paraId="7EA6A89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对业方技术及维保人员讲解</w:t>
            </w:r>
          </w:p>
        </w:tc>
      </w:tr>
      <w:tr w14:paraId="41495359">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394" w:type="pct"/>
            <w:noWrap w:val="0"/>
            <w:vAlign w:val="center"/>
          </w:tcPr>
          <w:p w14:paraId="01A8CC73">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4</w:t>
            </w:r>
          </w:p>
        </w:tc>
        <w:tc>
          <w:tcPr>
            <w:tcW w:w="1965" w:type="pct"/>
            <w:noWrap w:val="0"/>
            <w:vAlign w:val="center"/>
          </w:tcPr>
          <w:p w14:paraId="7CF1E2E1">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工地现场操作及讲解</w:t>
            </w:r>
          </w:p>
        </w:tc>
        <w:tc>
          <w:tcPr>
            <w:tcW w:w="592" w:type="pct"/>
            <w:noWrap w:val="0"/>
            <w:vAlign w:val="center"/>
          </w:tcPr>
          <w:p w14:paraId="00DD842B">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助工</w:t>
            </w:r>
          </w:p>
        </w:tc>
        <w:tc>
          <w:tcPr>
            <w:tcW w:w="621" w:type="pct"/>
            <w:noWrap w:val="0"/>
            <w:vAlign w:val="center"/>
          </w:tcPr>
          <w:p w14:paraId="43EFD6F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人</w:t>
            </w:r>
          </w:p>
        </w:tc>
        <w:tc>
          <w:tcPr>
            <w:tcW w:w="1426" w:type="pct"/>
            <w:noWrap w:val="0"/>
            <w:vAlign w:val="center"/>
          </w:tcPr>
          <w:p w14:paraId="48F35D2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安装期间</w:t>
            </w:r>
          </w:p>
        </w:tc>
      </w:tr>
      <w:tr w14:paraId="0D9B6E47">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28" w:type="dxa"/>
            <w:bottom w:w="0" w:type="dxa"/>
            <w:right w:w="28" w:type="dxa"/>
          </w:tblCellMar>
        </w:tblPrEx>
        <w:trPr>
          <w:jc w:val="center"/>
        </w:trPr>
        <w:tc>
          <w:tcPr>
            <w:tcW w:w="394" w:type="pct"/>
            <w:noWrap w:val="0"/>
            <w:vAlign w:val="center"/>
          </w:tcPr>
          <w:p w14:paraId="75DAE71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5</w:t>
            </w:r>
          </w:p>
        </w:tc>
        <w:tc>
          <w:tcPr>
            <w:tcW w:w="1965" w:type="pct"/>
            <w:noWrap w:val="0"/>
            <w:vAlign w:val="center"/>
          </w:tcPr>
          <w:p w14:paraId="020105E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测试及交流</w:t>
            </w:r>
          </w:p>
        </w:tc>
        <w:tc>
          <w:tcPr>
            <w:tcW w:w="592" w:type="pct"/>
            <w:noWrap w:val="0"/>
            <w:vAlign w:val="center"/>
          </w:tcPr>
          <w:p w14:paraId="24354249">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技术员</w:t>
            </w:r>
          </w:p>
        </w:tc>
        <w:tc>
          <w:tcPr>
            <w:tcW w:w="621" w:type="pct"/>
            <w:noWrap w:val="0"/>
            <w:vAlign w:val="center"/>
          </w:tcPr>
          <w:p w14:paraId="48D8C930">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cs="宋体"/>
                <w:sz w:val="21"/>
                <w:szCs w:val="21"/>
                <w:lang w:val="en-US" w:eastAsia="zh-CN"/>
              </w:rPr>
              <w:t>1</w:t>
            </w:r>
            <w:r>
              <w:rPr>
                <w:rFonts w:hint="eastAsia" w:ascii="宋体" w:hAnsi="宋体" w:eastAsia="宋体" w:cs="宋体"/>
                <w:sz w:val="21"/>
                <w:szCs w:val="21"/>
                <w:lang w:val="en-US" w:eastAsia="zh-CN"/>
              </w:rPr>
              <w:t>人</w:t>
            </w:r>
          </w:p>
        </w:tc>
        <w:tc>
          <w:tcPr>
            <w:tcW w:w="1426" w:type="pct"/>
            <w:noWrap w:val="0"/>
            <w:vAlign w:val="center"/>
          </w:tcPr>
          <w:p w14:paraId="7711C00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安装至运行期间</w:t>
            </w:r>
          </w:p>
        </w:tc>
      </w:tr>
      <w:bookmarkEnd w:id="6"/>
      <w:bookmarkEnd w:id="7"/>
      <w:bookmarkEnd w:id="8"/>
    </w:tbl>
    <w:p w14:paraId="32619EFF">
      <w:pPr>
        <w:pStyle w:val="4"/>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2、技术服务</w:t>
      </w:r>
    </w:p>
    <w:p w14:paraId="38FD946C">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合同生效后，卖方根据本技术协议的要求，按时提供各种技术资料和文件，并派技术人员进行技术交底，还应及时向使用提供产品主要零部件生产详细的技术表。</w:t>
      </w:r>
    </w:p>
    <w:p w14:paraId="4E539957">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技术服务包括项目服务和现场服务。项目服务包括工厂检验和出厂验收等，现场服务包括到货开箱检查、使用和维护培训、联调试运、保运等工作。</w:t>
      </w:r>
    </w:p>
    <w:p w14:paraId="796C9B73">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卖方应对系统开工后的售后技术服务、使用和维修技术咨询等提供良好的保证。卖方应保证其指定的技术服务与维修的支持部门在接到买方电话（传真）后8小时内对买方提出的问题予以答复（电话或传真），直到问题解决，必要时应派人在48小时内赶到买方所在地解决。</w:t>
      </w:r>
    </w:p>
    <w:p w14:paraId="779E9930">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在系统安装后、试运行期间卖方技术负责人员应长驻买方现场，在质保期内，卖方在接到用户有关上述供货范围需要现场处理问题的正式通知后2天内，派维修服务人员到现场进行处理或维修服务。若3天内未能到达，在征得卖方的同意后，买方可以根据情况先行处理，若5天内仍未明确答复，买方有权自行处理相关问题，由此产生的后果由卖方承担。</w:t>
      </w:r>
    </w:p>
    <w:p w14:paraId="5AC14B0C">
      <w:pPr>
        <w:pStyle w:val="4"/>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3、回访、保修办法</w:t>
      </w:r>
    </w:p>
    <w:p w14:paraId="2868DA0E">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本着一切为客户服务的思想，处处要为用户着想，安装结束验收完，但是竣工后服务工作尚未完结。为使用户满意放心，项目竣工后，我们将继续为用户提供方便，并做好如下工作。</w:t>
      </w:r>
    </w:p>
    <w:p w14:paraId="0D9632E6">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A、向用户提供所有的设备资料档案，有关技术说明及各种原始资料。</w:t>
      </w:r>
    </w:p>
    <w:p w14:paraId="31EBBBCD">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执行项目完工后回访保修制度：竣工后随即向用户发放回访保修卡，认真履行合同及有关规定。保修期内每隔半年回访一次。凡属施工原因造成的质量问题，我公司将及时全面负责修复，做好修复记录，并经业主签字认可。</w:t>
      </w:r>
    </w:p>
    <w:p w14:paraId="2341F0CF">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C、保修期内对于种种原因，造成了在使用中所碰到的质量问题而投诉于我公司的意见，我公司认真对待，立即派人修复。凡属其他原因造成的质量问题，我公司将向用户解释，并积极参与配合修复。</w:t>
      </w:r>
    </w:p>
    <w:p w14:paraId="296812E7">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D、适时邀请用户座谈，请用户对我公司的质量情况多提宝贵意见，以便今后不断改进。</w:t>
      </w:r>
    </w:p>
    <w:p w14:paraId="4D667655">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E、为了更好地服务于业主，及时解决项目施工遗留的缺陷，满足业主的要求，在公司设有专业维修服务部，公司服务部提供全方位项目维修服务，维修工作全天侯24小时持续服务。</w:t>
      </w:r>
    </w:p>
    <w:p w14:paraId="7CE92DDA">
      <w:pPr>
        <w:pStyle w:val="4"/>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4、回访制度：</w:t>
      </w:r>
    </w:p>
    <w:p w14:paraId="53BA0235">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我公司的回访服务采用以下三种形式：</w:t>
      </w:r>
    </w:p>
    <w:p w14:paraId="25251C55">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A、电话回访：我公司会根据各分部分项工程的不同特点按以下情况进行电话回访，并在回访服务后做好服务记录的登记工作：</w:t>
      </w:r>
    </w:p>
    <w:p w14:paraId="3E5F69E1">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① 通风系统工程：在竣工交付使用后60天进行电话回访，了解管道是否有漏风、滴水等问题，风机是否有杂音或运行不正常问题</w:t>
      </w:r>
    </w:p>
    <w:p w14:paraId="33ED7CD8">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② 气路系统工程：在竣工交付使用后60天进行电话回访，了解气路管道和阀门有无漏气问题，报警器等是否正常运行等问题。</w:t>
      </w:r>
    </w:p>
    <w:p w14:paraId="0E588D07">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③ 在一年内季节交替期间进行电话回访，了解实验家具表面有否锈变，弯曲变形、开裂、起边等问题，如出现问题及时修复</w:t>
      </w:r>
    </w:p>
    <w:p w14:paraId="216F5719">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上门回访：在安装完工交付使用后6个月，我公司将派专业维护人员上门回访，回访内容包括：了解业主使用情况及需要解决的问题；对风机、管道、电气等工程设置的监测点进行检查，及时发现家具及管道结构变形等情况，重新检测气路、排风管线和设备的运行情况，对设备进行必要的重新调试，对于发现的问题及时制定处理方案，以最大限度地送减少业主的损失。并在回访服务后做好服务记录和登记工作，如需要进行再次回访服务的，与甲方预约好下次回访的时间和内容。</w:t>
      </w:r>
    </w:p>
    <w:p w14:paraId="7EA9D909">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C、上门维修：如接到业主的报修要求，我公司将在12小时内派专业维修人员上门服务，进行不中断维修服务，直到完全修复，并实行先检查维修服务，后论责任的原则，并在回访服务后做好服务记录和登记工作。</w:t>
      </w:r>
    </w:p>
    <w:p w14:paraId="050F4B3E">
      <w:pPr>
        <w:pStyle w:val="4"/>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5、保修制度</w:t>
      </w:r>
    </w:p>
    <w:p w14:paraId="3DC8E627">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A、在保修期内我公司将提供免费维修服务（工程的本身质量原因），维修部绝对备有足够的维修材料，并保证所有的维修材料基本上同于原有材料。</w:t>
      </w:r>
    </w:p>
    <w:p w14:paraId="23C0ED18">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B、在保修期满后，本公司仍坚持随叫随到保证维修，并且只收主要材料费用。</w:t>
      </w:r>
    </w:p>
    <w:p w14:paraId="5CBD4369">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C、每一次维修结束后，我公司都有专业人员就造成维修的原因、维修措施、维修的可靠性等向业主提供书面报告，此报告一式二份，供甲、乙双方留存。</w:t>
      </w:r>
    </w:p>
    <w:p w14:paraId="2D44F958">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项目竣工后，我公司向业主提供书面的质量保证书。</w:t>
      </w:r>
    </w:p>
    <w:p w14:paraId="71A7C183">
      <w:pPr>
        <w:pStyle w:val="4"/>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6、质保期</w:t>
      </w:r>
    </w:p>
    <w:p w14:paraId="16F82B1E">
      <w:pPr>
        <w:bidi w:val="0"/>
        <w:spacing w:line="360" w:lineRule="auto"/>
        <w:ind w:left="0" w:leftChars="0" w:firstLine="192" w:firstLineChars="91"/>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质保期自项目通过验收后签字之日起计算，质保期为</w:t>
      </w:r>
      <w:r>
        <w:rPr>
          <w:rFonts w:hint="eastAsia" w:ascii="宋体" w:hAnsi="宋体" w:cs="宋体"/>
          <w:b/>
          <w:bCs/>
          <w:sz w:val="21"/>
          <w:szCs w:val="21"/>
          <w:u w:val="single"/>
          <w:lang w:val="en-US" w:eastAsia="zh-CN"/>
        </w:rPr>
        <w:t xml:space="preserve"> </w:t>
      </w:r>
      <w:r>
        <w:rPr>
          <w:rFonts w:hint="eastAsia" w:ascii="宋体" w:hAnsi="宋体" w:eastAsia="宋体" w:cs="宋体"/>
          <w:b/>
          <w:bCs/>
          <w:sz w:val="21"/>
          <w:szCs w:val="21"/>
          <w:u w:val="single"/>
          <w:lang w:val="en-US" w:eastAsia="zh-CN"/>
        </w:rPr>
        <w:t>2</w:t>
      </w:r>
      <w:r>
        <w:rPr>
          <w:rFonts w:hint="eastAsia" w:ascii="宋体" w:hAnsi="宋体" w:cs="宋体"/>
          <w:b/>
          <w:bCs/>
          <w:sz w:val="21"/>
          <w:szCs w:val="21"/>
          <w:u w:val="single"/>
          <w:lang w:val="en-US" w:eastAsia="zh-CN"/>
        </w:rPr>
        <w:t xml:space="preserve"> </w:t>
      </w:r>
      <w:r>
        <w:rPr>
          <w:rFonts w:hint="eastAsia" w:ascii="宋体" w:hAnsi="宋体" w:eastAsia="宋体" w:cs="宋体"/>
          <w:b/>
          <w:bCs/>
          <w:sz w:val="21"/>
          <w:szCs w:val="21"/>
          <w:lang w:val="en-US" w:eastAsia="zh-CN"/>
        </w:rPr>
        <w:t>年。在质量保证期内若出现任何问题中标方无偿更换零部件及设备维护、维修，设备保修期过后，我司终身提供优惠的技术支持。</w:t>
      </w:r>
    </w:p>
    <w:p w14:paraId="5DF30DD2">
      <w:pPr>
        <w:pStyle w:val="3"/>
        <w:spacing w:line="360" w:lineRule="auto"/>
        <w:jc w:val="left"/>
        <w:rPr>
          <w:rFonts w:hint="eastAsia" w:ascii="宋体" w:hAnsi="宋体" w:eastAsia="宋体" w:cs="宋体"/>
          <w:sz w:val="22"/>
          <w:szCs w:val="20"/>
          <w:lang w:val="en-US" w:eastAsia="zh-CN"/>
        </w:rPr>
      </w:pPr>
      <w:bookmarkStart w:id="9" w:name="_Toc3841"/>
      <w:bookmarkStart w:id="10" w:name="_Toc12044"/>
      <w:bookmarkStart w:id="11" w:name="_Toc5923"/>
      <w:bookmarkStart w:id="12" w:name="_Toc15031"/>
      <w:bookmarkStart w:id="13" w:name="_Toc5632"/>
      <w:r>
        <w:rPr>
          <w:rFonts w:hint="eastAsia" w:ascii="宋体" w:hAnsi="宋体" w:eastAsia="宋体" w:cs="宋体"/>
          <w:sz w:val="22"/>
          <w:szCs w:val="20"/>
          <w:lang w:val="en-US" w:eastAsia="zh-CN"/>
        </w:rPr>
        <w:t>二、售后服务方案</w:t>
      </w:r>
      <w:bookmarkEnd w:id="9"/>
      <w:bookmarkEnd w:id="10"/>
      <w:bookmarkEnd w:id="11"/>
      <w:bookmarkEnd w:id="12"/>
      <w:bookmarkEnd w:id="13"/>
    </w:p>
    <w:p w14:paraId="66204AEB">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我公司严格按照ISO9001国际质量体系制定并严格按合同要求及产品技术规范为用户提供相关服务，最大限度地满足用户需求。</w:t>
      </w:r>
    </w:p>
    <w:p w14:paraId="03DE095B">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 售后服务由公司维修服务中心管理，负责售后服务的组织和控制，负责本公司在全国市场中售出产品的重大维修以及特急情况的支援服务。</w:t>
      </w:r>
    </w:p>
    <w:p w14:paraId="4D61AF32">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 坚持服务原则：</w:t>
      </w:r>
    </w:p>
    <w:p w14:paraId="09764E44">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（1）主动上门服务及时处理问题。</w:t>
      </w:r>
    </w:p>
    <w:p w14:paraId="7C2E3D48">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（2）对用户的有益建议要积极响应。</w:t>
      </w:r>
    </w:p>
    <w:p w14:paraId="4DF58B09">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 及时处理用户来电来函，处处为用户着想。</w:t>
      </w:r>
    </w:p>
    <w:p w14:paraId="32536AD0">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 做好用户质量信息反馈，实行质量反馈单、质量跟踪卡制度。公司每三个月组织服务人员对产品的质量进行回访，并对产品作调试保养，满足客户的需求和满意。</w:t>
      </w:r>
    </w:p>
    <w:p w14:paraId="540A91CE">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5.服务内容：</w:t>
      </w:r>
    </w:p>
    <w:p w14:paraId="23E5ECB7">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（1）质保期为设备质保</w:t>
      </w:r>
      <w:r>
        <w:rPr>
          <w:rFonts w:hint="eastAsia" w:ascii="宋体" w:hAnsi="宋体" w:cs="宋体"/>
          <w:sz w:val="21"/>
          <w:szCs w:val="21"/>
          <w:lang w:val="en-US" w:eastAsia="zh-CN"/>
        </w:rPr>
        <w:t>2</w:t>
      </w:r>
      <w:r>
        <w:rPr>
          <w:rFonts w:hint="eastAsia" w:ascii="宋体" w:hAnsi="宋体" w:eastAsia="宋体" w:cs="宋体"/>
          <w:sz w:val="21"/>
          <w:szCs w:val="21"/>
          <w:lang w:val="en-US" w:eastAsia="zh-CN"/>
        </w:rPr>
        <w:t>年，管道</w:t>
      </w:r>
      <w:r>
        <w:rPr>
          <w:rFonts w:hint="eastAsia" w:ascii="宋体" w:hAnsi="宋体" w:cs="宋体"/>
          <w:sz w:val="21"/>
          <w:szCs w:val="21"/>
          <w:lang w:val="en-US" w:eastAsia="zh-CN"/>
        </w:rPr>
        <w:t>5</w:t>
      </w:r>
      <w:r>
        <w:rPr>
          <w:rFonts w:hint="eastAsia" w:ascii="宋体" w:hAnsi="宋体" w:eastAsia="宋体" w:cs="宋体"/>
          <w:sz w:val="21"/>
          <w:szCs w:val="21"/>
          <w:lang w:val="en-US" w:eastAsia="zh-CN"/>
        </w:rPr>
        <w:t>年，终身维护（人为因素除外）；</w:t>
      </w:r>
    </w:p>
    <w:p w14:paraId="1446214D">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（2）提供备品、备件，公司常年备有充足的备品备件。在保用期内，属于新产品本身质量问题而引起备品备件的更换，将予以免费提供。保用期外向用户提供成本价的备品备件；</w:t>
      </w:r>
    </w:p>
    <w:p w14:paraId="37287AE4">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（3）免费为用户培训操作人员；</w:t>
      </w:r>
    </w:p>
    <w:p w14:paraId="33E5AF64">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（4）在规定的保用期内，主动协助用户保养产品；</w:t>
      </w:r>
    </w:p>
    <w:p w14:paraId="1D3CF525">
      <w:pPr>
        <w:bidi w:val="0"/>
        <w:spacing w:line="360" w:lineRule="auto"/>
        <w:ind w:left="0" w:leftChars="0" w:firstLine="191" w:firstLineChars="91"/>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（5）及时向用户提供新产品使用和改进消息；</w:t>
      </w:r>
    </w:p>
    <w:p w14:paraId="649F31D8">
      <w:pPr>
        <w:bidi w:val="0"/>
        <w:spacing w:line="360" w:lineRule="auto"/>
        <w:ind w:left="0" w:leftChars="0" w:firstLine="191" w:firstLineChars="91"/>
        <w:rPr>
          <w:rFonts w:hint="default" w:ascii="宋体" w:hAnsi="宋体" w:cs="宋体"/>
          <w:color w:val="000000"/>
          <w:sz w:val="21"/>
          <w:szCs w:val="21"/>
          <w:lang w:val="en-US"/>
        </w:rPr>
      </w:pPr>
      <w:r>
        <w:rPr>
          <w:rFonts w:hint="eastAsia" w:ascii="宋体" w:hAnsi="宋体" w:eastAsia="宋体" w:cs="宋体"/>
          <w:sz w:val="21"/>
          <w:szCs w:val="21"/>
          <w:lang w:val="en-US" w:eastAsia="zh-CN"/>
        </w:rPr>
        <w:t>（6）负责为顾客指导安装，负责免费调试产品。</w:t>
      </w:r>
    </w:p>
    <w:p w14:paraId="59C0EF66">
      <w:pPr>
        <w:rPr>
          <w:rFonts w:hint="eastAsia"/>
          <w:b/>
          <w:bCs/>
          <w:sz w:val="24"/>
          <w:szCs w:val="32"/>
        </w:rPr>
      </w:pPr>
    </w:p>
    <w:sectPr>
      <w:pgSz w:w="11906" w:h="16838"/>
      <w:pgMar w:top="1440" w:right="1066" w:bottom="1440"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76FCE3DB-9DAB-4BDD-B633-24674829A0F5}"/>
  </w:font>
  <w:font w:name="Calibri Light">
    <w:panose1 w:val="020F0302020204030204"/>
    <w:charset w:val="00"/>
    <w:family w:val="auto"/>
    <w:pitch w:val="default"/>
    <w:sig w:usb0="E4002EFF" w:usb1="C000247B" w:usb2="00000009" w:usb3="00000000" w:csb0="200001FF" w:csb1="00000000"/>
  </w:font>
  <w:font w:name="Arial Unicode MS">
    <w:panose1 w:val="020B0604020202020204"/>
    <w:charset w:val="86"/>
    <w:family w:val="roman"/>
    <w:pitch w:val="default"/>
    <w:sig w:usb0="F7FFAEFF" w:usb1="F9DFFFFF" w:usb2="0000007F" w:usb3="00000000" w:csb0="203F01FF" w:csb1="D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B20789"/>
    <w:multiLevelType w:val="singleLevel"/>
    <w:tmpl w:val="5AB20789"/>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197F91"/>
    <w:rsid w:val="02E641FF"/>
    <w:rsid w:val="05C633E1"/>
    <w:rsid w:val="0A4269EA"/>
    <w:rsid w:val="0AA378B4"/>
    <w:rsid w:val="0E4D6C95"/>
    <w:rsid w:val="0E8342D3"/>
    <w:rsid w:val="13C800AD"/>
    <w:rsid w:val="163F48B8"/>
    <w:rsid w:val="16AC04FD"/>
    <w:rsid w:val="19A10404"/>
    <w:rsid w:val="1A9D3FDC"/>
    <w:rsid w:val="1C452C4E"/>
    <w:rsid w:val="1CBC7643"/>
    <w:rsid w:val="1CC827FC"/>
    <w:rsid w:val="1D440F29"/>
    <w:rsid w:val="1FD143FD"/>
    <w:rsid w:val="1FF873CC"/>
    <w:rsid w:val="20AC71F7"/>
    <w:rsid w:val="20D72922"/>
    <w:rsid w:val="234A5DBD"/>
    <w:rsid w:val="244E5178"/>
    <w:rsid w:val="26F76608"/>
    <w:rsid w:val="29BF0B8D"/>
    <w:rsid w:val="29F34884"/>
    <w:rsid w:val="29FC19EE"/>
    <w:rsid w:val="2A63490D"/>
    <w:rsid w:val="2FF770DC"/>
    <w:rsid w:val="307075E0"/>
    <w:rsid w:val="33797ADC"/>
    <w:rsid w:val="3ACA1C63"/>
    <w:rsid w:val="3BB838A7"/>
    <w:rsid w:val="3CE06ABD"/>
    <w:rsid w:val="3F03716C"/>
    <w:rsid w:val="3FC23DE5"/>
    <w:rsid w:val="40615E17"/>
    <w:rsid w:val="40FB161A"/>
    <w:rsid w:val="45274055"/>
    <w:rsid w:val="464C5946"/>
    <w:rsid w:val="47460DA0"/>
    <w:rsid w:val="49491AE5"/>
    <w:rsid w:val="4B8B52F8"/>
    <w:rsid w:val="53192FEA"/>
    <w:rsid w:val="545908CA"/>
    <w:rsid w:val="5845567F"/>
    <w:rsid w:val="589E1EDB"/>
    <w:rsid w:val="59FD7108"/>
    <w:rsid w:val="5A8C0FB1"/>
    <w:rsid w:val="5B486D6B"/>
    <w:rsid w:val="60B04544"/>
    <w:rsid w:val="60DD5903"/>
    <w:rsid w:val="60ED67E9"/>
    <w:rsid w:val="61292911"/>
    <w:rsid w:val="61E628BC"/>
    <w:rsid w:val="620A70DC"/>
    <w:rsid w:val="623D73D3"/>
    <w:rsid w:val="65E80144"/>
    <w:rsid w:val="688572BF"/>
    <w:rsid w:val="6CB90CA5"/>
    <w:rsid w:val="6CE0677B"/>
    <w:rsid w:val="6DFA4391"/>
    <w:rsid w:val="6F962674"/>
    <w:rsid w:val="71FB2C7B"/>
    <w:rsid w:val="76681215"/>
    <w:rsid w:val="7B271308"/>
    <w:rsid w:val="7D2A6AA8"/>
    <w:rsid w:val="7E165E49"/>
    <w:rsid w:val="7ED47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8" w:lineRule="auto"/>
      <w:jc w:val="center"/>
      <w:outlineLvl w:val="0"/>
    </w:pPr>
    <w:rPr>
      <w:b/>
      <w:bCs/>
      <w:sz w:val="36"/>
      <w:szCs w:val="21"/>
    </w:rPr>
  </w:style>
  <w:style w:type="paragraph" w:styleId="3">
    <w:name w:val="heading 2"/>
    <w:basedOn w:val="1"/>
    <w:next w:val="1"/>
    <w:unhideWhenUsed/>
    <w:qFormat/>
    <w:uiPriority w:val="0"/>
    <w:pPr>
      <w:keepNext/>
      <w:keepLines/>
      <w:spacing w:before="260" w:after="260" w:line="416" w:lineRule="auto"/>
      <w:jc w:val="center"/>
      <w:outlineLvl w:val="1"/>
    </w:pPr>
    <w:rPr>
      <w:rFonts w:ascii="Arial" w:hAnsi="Arial" w:eastAsia="黑体"/>
      <w:b/>
      <w:bCs/>
      <w:sz w:val="28"/>
      <w:szCs w:val="32"/>
      <w:u w:val="single"/>
    </w:rPr>
  </w:style>
  <w:style w:type="paragraph" w:styleId="4">
    <w:name w:val="heading 3"/>
    <w:basedOn w:val="1"/>
    <w:next w:val="1"/>
    <w:unhideWhenUsed/>
    <w:qFormat/>
    <w:uiPriority w:val="9"/>
    <w:pPr>
      <w:spacing w:before="260" w:after="260" w:line="415" w:lineRule="auto"/>
      <w:outlineLvl w:val="2"/>
    </w:pPr>
    <w:rPr>
      <w:b/>
      <w:bCs/>
      <w:sz w:val="32"/>
      <w:szCs w:val="32"/>
    </w:rPr>
  </w:style>
  <w:style w:type="paragraph" w:styleId="5">
    <w:name w:val="heading 4"/>
    <w:basedOn w:val="1"/>
    <w:next w:val="1"/>
    <w:unhideWhenUsed/>
    <w:qFormat/>
    <w:uiPriority w:val="9"/>
    <w:pPr>
      <w:spacing w:before="280" w:after="290" w:line="377" w:lineRule="auto"/>
      <w:outlineLvl w:val="3"/>
    </w:pPr>
    <w:rPr>
      <w:rFonts w:asciiTheme="majorHAnsi" w:hAnsiTheme="majorHAnsi" w:eastAsiaTheme="majorEastAsia" w:cstheme="majorBidi"/>
      <w:b/>
      <w:bCs/>
      <w:sz w:val="28"/>
      <w:szCs w:val="28"/>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6">
    <w:name w:val="Normal Indent"/>
    <w:basedOn w:val="1"/>
    <w:qFormat/>
    <w:uiPriority w:val="0"/>
    <w:pPr>
      <w:ind w:firstLine="420"/>
    </w:pPr>
    <w:rPr>
      <w:rFonts w:ascii="Times New Roman" w:hAnsi="Times New Roman" w:eastAsia="Times New Roman"/>
      <w:color w:val="000000"/>
      <w:szCs w:val="22"/>
      <w:u w:color="000000"/>
    </w:rPr>
  </w:style>
  <w:style w:type="paragraph" w:styleId="7">
    <w:name w:val="Body Text Indent"/>
    <w:basedOn w:val="1"/>
    <w:unhideWhenUsed/>
    <w:qFormat/>
    <w:uiPriority w:val="99"/>
    <w:pPr>
      <w:spacing w:after="120"/>
      <w:ind w:left="420" w:leftChars="200"/>
    </w:pPr>
  </w:style>
  <w:style w:type="paragraph" w:styleId="8">
    <w:name w:val="Block Text"/>
    <w:basedOn w:val="1"/>
    <w:qFormat/>
    <w:uiPriority w:val="0"/>
    <w:pPr>
      <w:spacing w:afterLines="0" w:line="240" w:lineRule="auto"/>
      <w:ind w:left="-90" w:right="-108"/>
      <w:jc w:val="both"/>
    </w:pPr>
    <w:rPr>
      <w:snapToGrid/>
      <w:sz w:val="22"/>
      <w:szCs w:val="20"/>
      <w:lang w:val="en-GB" w:eastAsia="en-US"/>
    </w:rPr>
  </w:style>
  <w:style w:type="paragraph" w:styleId="9">
    <w:name w:val="endnote text"/>
    <w:basedOn w:val="1"/>
    <w:qFormat/>
    <w:uiPriority w:val="0"/>
    <w:pPr>
      <w:widowControl w:val="0"/>
      <w:snapToGrid w:val="0"/>
      <w:spacing w:afterLines="0" w:line="240" w:lineRule="auto"/>
    </w:pPr>
    <w:rPr>
      <w:snapToGrid/>
      <w:kern w:val="2"/>
      <w:sz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qFormat/>
    <w:uiPriority w:val="0"/>
  </w:style>
  <w:style w:type="paragraph" w:customStyle="1" w:styleId="14">
    <w:name w:val="列出段落1"/>
    <w:basedOn w:val="1"/>
    <w:qFormat/>
    <w:uiPriority w:val="99"/>
    <w:pPr>
      <w:ind w:firstLine="420" w:firstLineChars="200"/>
    </w:pPr>
  </w:style>
  <w:style w:type="paragraph" w:customStyle="1" w:styleId="15">
    <w:name w:val="列出段落3"/>
    <w:basedOn w:val="1"/>
    <w:unhideWhenUsed/>
    <w:qFormat/>
    <w:uiPriority w:val="99"/>
    <w:pPr>
      <w:spacing w:before="0" w:after="0" w:line="240" w:lineRule="auto"/>
      <w:ind w:left="0" w:leftChars="0" w:firstLine="420" w:firstLineChars="200"/>
    </w:pPr>
    <w:rPr>
      <w:rFonts w:ascii="Times New Roman" w:hAnsi="Times New Roman" w:eastAsia="宋体" w:cs="Times New Roman"/>
      <w:szCs w:val="20"/>
    </w:rPr>
  </w:style>
  <w:style w:type="paragraph" w:styleId="16">
    <w:name w:val="List Paragraph"/>
    <w:basedOn w:val="1"/>
    <w:unhideWhenUsed/>
    <w:qFormat/>
    <w:uiPriority w:val="34"/>
    <w:pPr>
      <w:ind w:firstLine="420" w:firstLineChars="200"/>
    </w:pPr>
  </w:style>
  <w:style w:type="paragraph" w:customStyle="1" w:styleId="17">
    <w:name w:val="_Style 5"/>
    <w:basedOn w:val="1"/>
    <w:qFormat/>
    <w:uiPriority w:val="99"/>
    <w:pPr>
      <w:ind w:firstLine="420" w:firstLineChars="200"/>
    </w:pPr>
    <w:rPr>
      <w:szCs w:val="24"/>
    </w:rPr>
  </w:style>
  <w:style w:type="paragraph" w:customStyle="1" w:styleId="18">
    <w:name w:val="列出段落2"/>
    <w:basedOn w:val="1"/>
    <w:qFormat/>
    <w:uiPriority w:val="34"/>
    <w:pPr>
      <w:spacing w:before="0" w:after="0" w:line="240" w:lineRule="auto"/>
      <w:ind w:left="0" w:leftChars="0" w:firstLine="420" w:firstLineChars="200"/>
    </w:pPr>
    <w:rPr>
      <w:rFonts w:ascii="Times New Roman" w:hAnsi="Times New Roman" w:eastAsia="宋体" w:cs="Times New Roman"/>
      <w:szCs w:val="20"/>
    </w:rPr>
  </w:style>
  <w:style w:type="paragraph" w:customStyle="1" w:styleId="19">
    <w:name w:val="正文 A"/>
    <w:qFormat/>
    <w:uiPriority w:val="0"/>
    <w:rPr>
      <w:rFonts w:ascii="Times New Roman" w:hAnsi="Times New Roman" w:eastAsia="Arial Unicode MS" w:cs="Arial Unicode MS"/>
      <w:color w:val="000000"/>
      <w:lang w:val="en-US" w:eastAsia="zh-CN" w:bidi="ar-SA"/>
    </w:rPr>
  </w:style>
  <w:style w:type="paragraph" w:customStyle="1" w:styleId="20">
    <w:name w:val="正文 A A"/>
    <w:qFormat/>
    <w:uiPriority w:val="0"/>
    <w:pPr>
      <w:widowControl w:val="0"/>
      <w:spacing w:line="360" w:lineRule="auto"/>
      <w:ind w:firstLine="200"/>
      <w:jc w:val="both"/>
    </w:pPr>
    <w:rPr>
      <w:rFonts w:ascii="宋体" w:hAnsi="宋体" w:eastAsia="宋体" w:cs="宋体"/>
      <w:color w:val="000000"/>
      <w:kern w:val="2"/>
      <w:sz w:val="28"/>
      <w:szCs w:val="28"/>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2731</Words>
  <Characters>2953</Characters>
  <Lines>0</Lines>
  <Paragraphs>0</Paragraphs>
  <TotalTime>1</TotalTime>
  <ScaleCrop>false</ScaleCrop>
  <LinksUpToDate>false</LinksUpToDate>
  <CharactersWithSpaces>2961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2026-05-21T03:23:00Z</dcterms:created>
  <dc:creator>Administrator</dc:creator>
  <cp:lastModifiedBy>绾绾</cp:lastModifiedBy>
  <cp:lastPrinted>2026-07-14T02:49:00Z</cp:lastPrinted>
  <dcterms:modified xsi:type="dcterms:W3CDTF">2026-07-14T06:35:00Z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3880CA5B280C4A84BCD0BBD1958DAF76_13</vt:lpwstr>
  </property>
  <property fmtid="{D5CDD505-2E9C-101B-9397-08002B2CF9AE}" pid="4" name="KSOTemplateDocerSaveRecord">
    <vt:lpwstr>eyJoZGlkIjoiNTRkMDNkMGI5ZTJjNTgxZjI5NWQ2NzI5MmJiMjc0NzkiLCJ1c2VySWQiOiIxOTg0MzAyOTEifQ==</vt:lpwstr>
  </property>
</Properties>
</file>